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482" w:rsidRDefault="00582482" w:rsidP="00582482">
      <w:pPr>
        <w:pStyle w:val="AIAHeader"/>
        <w:rPr>
          <w:rFonts w:ascii="Arial" w:hAnsi="Arial"/>
        </w:rPr>
      </w:pPr>
      <w:r>
        <w:rPr>
          <w:rFonts w:ascii="Arial" w:hAnsi="Arial"/>
        </w:rPr>
        <w:t>Standard for the Exchange of Product model data (STEP - ISO 10303)</w:t>
      </w:r>
    </w:p>
    <w:p w:rsidR="00582482" w:rsidRDefault="00582482" w:rsidP="00582482">
      <w:pPr>
        <w:pStyle w:val="AIAHeader"/>
        <w:rPr>
          <w:rFonts w:ascii="Arial" w:hAnsi="Arial"/>
        </w:rPr>
      </w:pPr>
      <w:r>
        <w:rPr>
          <w:rFonts w:ascii="Arial" w:hAnsi="Arial"/>
          <w:lang w:val="en-GB"/>
        </w:rPr>
        <w:t>Application Protocol 209 “</w:t>
      </w:r>
      <w:r w:rsidRPr="000D4221">
        <w:rPr>
          <w:rFonts w:ascii="Arial" w:hAnsi="Arial"/>
          <w:lang w:val="en-GB"/>
        </w:rPr>
        <w:t>Multidisciplinary analysis and design</w:t>
      </w:r>
      <w:r>
        <w:rPr>
          <w:rFonts w:ascii="Arial" w:hAnsi="Arial"/>
          <w:lang w:val="en-GB"/>
        </w:rPr>
        <w:t>”</w:t>
      </w:r>
    </w:p>
    <w:p w:rsidR="00582482" w:rsidRDefault="00582482" w:rsidP="00582482">
      <w:pPr>
        <w:pStyle w:val="Clause"/>
        <w:rPr>
          <w:rFonts w:ascii="Arial" w:hAnsi="Arial" w:cs="Arial"/>
        </w:rPr>
      </w:pPr>
      <w:r>
        <w:rPr>
          <w:rFonts w:ascii="Arial" w:hAnsi="Arial" w:cs="Arial"/>
        </w:rPr>
        <w:t>Abstract</w:t>
      </w:r>
    </w:p>
    <w:p w:rsidR="00582482" w:rsidRDefault="00582482" w:rsidP="00582482">
      <w:pPr>
        <w:pStyle w:val="Corpsdetexte"/>
      </w:pPr>
      <w:r>
        <w:t xml:space="preserve">In the context of </w:t>
      </w:r>
      <w:r w:rsidRPr="000D4221">
        <w:rPr>
          <w:rFonts w:ascii="LiberationSerif" w:hAnsi="LiberationSerif" w:cs="LiberationSerif"/>
          <w:lang w:val="en-GB" w:eastAsia="fr-FR"/>
        </w:rPr>
        <w:t>Design/Analysis integration</w:t>
      </w:r>
      <w:r>
        <w:rPr>
          <w:rFonts w:ascii="LiberationSerif" w:hAnsi="LiberationSerif" w:cs="LiberationSerif"/>
          <w:lang w:val="en-GB" w:eastAsia="fr-FR"/>
        </w:rPr>
        <w:t>,</w:t>
      </w:r>
      <w:r w:rsidRPr="000D4221">
        <w:rPr>
          <w:rFonts w:ascii="LiberationSerif" w:hAnsi="LiberationSerif" w:cs="LiberationSerif"/>
          <w:lang w:val="en-GB" w:eastAsia="fr-FR"/>
        </w:rPr>
        <w:t xml:space="preserve"> </w:t>
      </w:r>
      <w:r>
        <w:t xml:space="preserve">STEP AP209 is a standard for </w:t>
      </w:r>
      <w:r w:rsidRPr="00747426">
        <w:t xml:space="preserve">exchange </w:t>
      </w:r>
      <w:r>
        <w:t xml:space="preserve">and long term archiving </w:t>
      </w:r>
      <w:r w:rsidRPr="00747426">
        <w:t>of information between iterative design and analysis stages of the product life cycle</w:t>
      </w:r>
      <w:r>
        <w:t>.</w:t>
      </w:r>
    </w:p>
    <w:p w:rsidR="00582482" w:rsidRDefault="00582482" w:rsidP="00582482">
      <w:pPr>
        <w:pStyle w:val="Corpsdetexte"/>
        <w:numPr>
          <w:ilvl w:val="0"/>
          <w:numId w:val="5"/>
        </w:numPr>
      </w:pPr>
      <w:r>
        <w:t>First edition of STEP AP209</w:t>
      </w:r>
      <w:r w:rsidRPr="000D4221">
        <w:t xml:space="preserve"> was published in 2001 </w:t>
      </w:r>
      <w:r>
        <w:t>under the name “</w:t>
      </w:r>
      <w:r w:rsidRPr="000D4221">
        <w:t>Composite and Metallic Structural Analysis</w:t>
      </w:r>
      <w:r>
        <w:t>”.</w:t>
      </w:r>
    </w:p>
    <w:p w:rsidR="00582482" w:rsidRDefault="00582482" w:rsidP="00582482">
      <w:pPr>
        <w:pStyle w:val="Corpsdetexte"/>
        <w:ind w:left="360"/>
      </w:pPr>
      <w:r>
        <w:t xml:space="preserve">The primary intent of the standard is to combine </w:t>
      </w:r>
      <w:proofErr w:type="gramStart"/>
      <w:r>
        <w:t>CAD,</w:t>
      </w:r>
      <w:proofErr w:type="gramEnd"/>
      <w:r>
        <w:t xml:space="preserve"> CAE and PDM capabilities to enable sharing of PDM controlled composite and metallic design, analysis, and material properties information.</w:t>
      </w:r>
    </w:p>
    <w:p w:rsidR="00582482" w:rsidRDefault="00582482" w:rsidP="00582482">
      <w:pPr>
        <w:pStyle w:val="Corpsdetexte"/>
        <w:ind w:left="360"/>
      </w:pPr>
      <w:r>
        <w:t>Augmenting shared information between design and analysis, both disciplines have separate but related product definitions allowing support of independent configuration control between the disciplines. Transfer between CAD 3D shape and CAE analysis information may be bi-directional enabling the feedback of information in the iterative design/analysis environment.</w:t>
      </w:r>
    </w:p>
    <w:p w:rsidR="00582482" w:rsidRDefault="00582482" w:rsidP="00582482">
      <w:pPr>
        <w:pStyle w:val="Corpsdetexte"/>
        <w:numPr>
          <w:ilvl w:val="0"/>
          <w:numId w:val="5"/>
        </w:numPr>
        <w:jc w:val="left"/>
      </w:pPr>
      <w:r>
        <w:t>A second edition of STEP AP209, renamed “</w:t>
      </w:r>
      <w:r w:rsidRPr="00B70555">
        <w:t>Multidisciplinary analysis and design</w:t>
      </w:r>
      <w:r>
        <w:t xml:space="preserve">” </w:t>
      </w:r>
      <w:r w:rsidR="00CC6D1A">
        <w:t>was published in December 2014</w:t>
      </w:r>
      <w:r>
        <w:t xml:space="preserve">. </w:t>
      </w:r>
      <w:r>
        <w:br/>
        <w:t xml:space="preserve">On top of </w:t>
      </w:r>
      <w:r w:rsidRPr="00B70555">
        <w:t>its migration to the modular architecture</w:t>
      </w:r>
      <w:r>
        <w:t>, STEP AP209 ED2 has enlarged its coverage beyond the STEP AP209 ED1 classical Finite Element Analysis capabilities:</w:t>
      </w:r>
    </w:p>
    <w:p w:rsidR="00582482" w:rsidRDefault="00582482" w:rsidP="00582482">
      <w:pPr>
        <w:pStyle w:val="Corpsdetexte"/>
        <w:numPr>
          <w:ilvl w:val="0"/>
          <w:numId w:val="3"/>
        </w:numPr>
      </w:pPr>
      <w:r>
        <w:t>CFD, mainly based upon the CGNS standard;</w:t>
      </w:r>
    </w:p>
    <w:p w:rsidR="00582482" w:rsidRDefault="00582482" w:rsidP="00582482">
      <w:pPr>
        <w:pStyle w:val="Corpsdetexte"/>
        <w:numPr>
          <w:ilvl w:val="0"/>
          <w:numId w:val="3"/>
        </w:numPr>
      </w:pPr>
      <w:r w:rsidRPr="003319B9">
        <w:t>Generalized structured and unstructured analysis and m</w:t>
      </w:r>
      <w:r>
        <w:t>esh capabilities, developed under the European Union GEM program;</w:t>
      </w:r>
    </w:p>
    <w:p w:rsidR="00582482" w:rsidRDefault="00582482" w:rsidP="00582482">
      <w:pPr>
        <w:pStyle w:val="Corpsdetexte"/>
        <w:numPr>
          <w:ilvl w:val="0"/>
          <w:numId w:val="3"/>
        </w:numPr>
      </w:pPr>
      <w:r>
        <w:t>C</w:t>
      </w:r>
      <w:r w:rsidRPr="009B7141">
        <w:t xml:space="preserve">omplete discrete/continuous mathematical </w:t>
      </w:r>
      <w:r>
        <w:t xml:space="preserve">field representation capability, </w:t>
      </w:r>
      <w:r w:rsidRPr="009B7141">
        <w:t>based upon the David Taylor Labs/Boeing DT-NURBS package</w:t>
      </w:r>
      <w:r>
        <w:t>.</w:t>
      </w:r>
    </w:p>
    <w:p w:rsidR="00582482" w:rsidRDefault="00582482" w:rsidP="00582482">
      <w:pPr>
        <w:pStyle w:val="Corpsdetexte"/>
      </w:pPr>
      <w:r>
        <w:t>The result</w:t>
      </w:r>
      <w:r w:rsidRPr="009B7141">
        <w:t xml:space="preserve"> is that </w:t>
      </w:r>
      <w:r>
        <w:t xml:space="preserve">STEP AP209 ED2 </w:t>
      </w:r>
      <w:r w:rsidR="009849A4" w:rsidRPr="009B7141">
        <w:t>address</w:t>
      </w:r>
      <w:r w:rsidR="009849A4">
        <w:t>es</w:t>
      </w:r>
      <w:r w:rsidR="009849A4" w:rsidRPr="009B7141">
        <w:t xml:space="preserve"> </w:t>
      </w:r>
      <w:r w:rsidRPr="009B7141">
        <w:t>now a much wider set of multi-disciplinary analysis and optimization problems.</w:t>
      </w:r>
    </w:p>
    <w:p w:rsidR="00582482" w:rsidRDefault="00582482" w:rsidP="00582482">
      <w:pPr>
        <w:pStyle w:val="Corpsdetexte"/>
      </w:pPr>
    </w:p>
    <w:p w:rsidR="00582482" w:rsidRPr="009B7141" w:rsidRDefault="00582482" w:rsidP="00582482">
      <w:pPr>
        <w:rPr>
          <w:rFonts w:ascii="Arial" w:hAnsi="Arial"/>
          <w:lang w:val="en-US"/>
        </w:rPr>
      </w:pPr>
      <w:r w:rsidRPr="009B7141">
        <w:rPr>
          <w:rFonts w:ascii="Arial" w:hAnsi="Arial"/>
          <w:lang w:val="en-US"/>
        </w:rPr>
        <w:t>Example scenarios</w:t>
      </w:r>
    </w:p>
    <w:p w:rsidR="00582482" w:rsidRPr="009B7141" w:rsidRDefault="00582482" w:rsidP="00582482">
      <w:pPr>
        <w:pStyle w:val="Corpsdetexte"/>
        <w:numPr>
          <w:ilvl w:val="0"/>
          <w:numId w:val="3"/>
        </w:numPr>
      </w:pPr>
      <w:r w:rsidRPr="009B7141">
        <w:t xml:space="preserve">Supplier </w:t>
      </w:r>
      <w:r>
        <w:t>analysis data exchange;</w:t>
      </w:r>
    </w:p>
    <w:p w:rsidR="00582482" w:rsidRDefault="00582482" w:rsidP="00582482">
      <w:pPr>
        <w:pStyle w:val="Corpsdetexte"/>
        <w:numPr>
          <w:ilvl w:val="0"/>
          <w:numId w:val="3"/>
        </w:numPr>
      </w:pPr>
      <w:r w:rsidRPr="009B7141">
        <w:t>Long Term Archiving</w:t>
      </w:r>
      <w:r>
        <w:t xml:space="preserve"> of mesh models/analysis results, in close relationship with the CAD model they base on;</w:t>
      </w:r>
    </w:p>
    <w:p w:rsidR="00582482" w:rsidRDefault="00582482" w:rsidP="00582482">
      <w:pPr>
        <w:pStyle w:val="Corpsdetexte"/>
        <w:numPr>
          <w:ilvl w:val="0"/>
          <w:numId w:val="3"/>
        </w:numPr>
      </w:pPr>
      <w:r>
        <w:t>Multi-disciplinary design and optimization;</w:t>
      </w:r>
    </w:p>
    <w:p w:rsidR="00582482" w:rsidRPr="009B7141" w:rsidRDefault="00582482" w:rsidP="00582482">
      <w:pPr>
        <w:pStyle w:val="Corpsdetexte"/>
        <w:numPr>
          <w:ilvl w:val="0"/>
          <w:numId w:val="3"/>
        </w:numPr>
      </w:pPr>
      <w:r>
        <w:t>Simulation Data Management.</w:t>
      </w:r>
    </w:p>
    <w:p w:rsidR="00582482" w:rsidRDefault="00582482" w:rsidP="00582482">
      <w:pPr>
        <w:pStyle w:val="Corpsdetexte"/>
      </w:pPr>
    </w:p>
    <w:p w:rsidR="00582482" w:rsidRDefault="00582482" w:rsidP="00582482">
      <w:pPr>
        <w:pStyle w:val="Clause"/>
        <w:rPr>
          <w:rFonts w:ascii="Arial" w:hAnsi="Arial" w:cs="Arial"/>
        </w:rPr>
      </w:pPr>
      <w:r>
        <w:rPr>
          <w:rFonts w:ascii="Arial" w:hAnsi="Arial" w:cs="Arial"/>
        </w:rPr>
        <w:t>Responsible organization</w:t>
      </w:r>
    </w:p>
    <w:p w:rsidR="00582482" w:rsidRPr="00617303" w:rsidRDefault="00582482" w:rsidP="00582482">
      <w:pPr>
        <w:rPr>
          <w:rFonts w:ascii="Arial" w:hAnsi="Arial" w:cs="Arial"/>
          <w:bCs/>
        </w:rPr>
      </w:pPr>
      <w:proofErr w:type="gramStart"/>
      <w:r w:rsidRPr="00617303">
        <w:rPr>
          <w:rFonts w:ascii="Arial" w:hAnsi="Arial" w:cs="Arial"/>
          <w:lang w:val="en-US"/>
        </w:rPr>
        <w:t>ISO TC 184/SC 4 for base standard.</w:t>
      </w:r>
      <w:proofErr w:type="gramEnd"/>
    </w:p>
    <w:p w:rsidR="00582482" w:rsidRDefault="00582482" w:rsidP="00582482">
      <w:pPr>
        <w:pStyle w:val="Clause"/>
        <w:rPr>
          <w:rFonts w:ascii="Arial" w:hAnsi="Arial" w:cs="Arial"/>
        </w:rPr>
      </w:pPr>
      <w:r>
        <w:rPr>
          <w:rFonts w:ascii="Arial" w:hAnsi="Arial" w:cs="Arial"/>
        </w:rPr>
        <w:t xml:space="preserve">Lead Organization within ASD </w:t>
      </w:r>
    </w:p>
    <w:p w:rsidR="00582482" w:rsidRDefault="00582482" w:rsidP="00582482">
      <w:pPr>
        <w:rPr>
          <w:rFonts w:ascii="Arial" w:hAnsi="Arial" w:cs="Arial"/>
          <w:lang w:val="en-US"/>
        </w:rPr>
      </w:pPr>
      <w:r>
        <w:rPr>
          <w:rFonts w:ascii="Arial" w:hAnsi="Arial" w:cs="Arial"/>
          <w:lang w:val="en-US"/>
        </w:rPr>
        <w:t xml:space="preserve">ASD Strategic Standardization Group - contact: Yves Baudier (33) (0)1-46-97-37-32 </w:t>
      </w:r>
    </w:p>
    <w:p w:rsidR="00582482" w:rsidRDefault="00582482" w:rsidP="00582482">
      <w:pPr>
        <w:pStyle w:val="Clause"/>
        <w:rPr>
          <w:rFonts w:ascii="Arial" w:hAnsi="Arial" w:cs="Arial"/>
        </w:rPr>
      </w:pPr>
      <w:r>
        <w:rPr>
          <w:rFonts w:ascii="Arial" w:hAnsi="Arial" w:cs="Arial"/>
        </w:rPr>
        <w:t>Other stakeholders – by function/organization</w:t>
      </w:r>
    </w:p>
    <w:p w:rsidR="00582482" w:rsidRDefault="00582482" w:rsidP="00582482">
      <w:pPr>
        <w:rPr>
          <w:rFonts w:ascii="Arial" w:hAnsi="Arial"/>
          <w:lang w:val="en-US"/>
        </w:rPr>
      </w:pPr>
      <w:r>
        <w:rPr>
          <w:rFonts w:ascii="Arial" w:hAnsi="Arial"/>
          <w:lang w:val="en-US"/>
        </w:rPr>
        <w:t>AIA, PDES Inc.</w:t>
      </w:r>
    </w:p>
    <w:p w:rsidR="00582482" w:rsidRDefault="00582482" w:rsidP="00582482">
      <w:pPr>
        <w:pStyle w:val="Clause"/>
        <w:rPr>
          <w:rFonts w:ascii="Arial" w:hAnsi="Arial" w:cs="Arial"/>
        </w:rPr>
      </w:pPr>
      <w:r>
        <w:rPr>
          <w:rFonts w:ascii="Arial" w:hAnsi="Arial" w:cs="Arial"/>
        </w:rPr>
        <w:lastRenderedPageBreak/>
        <w:t>Business Justification</w:t>
      </w:r>
    </w:p>
    <w:p w:rsidR="00582482" w:rsidRDefault="00582482" w:rsidP="00582482">
      <w:pPr>
        <w:pStyle w:val="Corpsdetexte"/>
      </w:pPr>
      <w:r>
        <w:t>In all industries (such as aerospace, automotive, and ship building), design of complex structures is more and more simulation-driven. In the context of Concurrent Engineering and Extended Enterprise, design and analysis information of growing size needs to be exchanged and managed in configuration. Simulation analyses also tend to support certification processes. It will allow decreasing the time to market for new products, and it will support the long term retention of knowledge, and traceability of new virtual simulation processes. Therefore there is a strong need for interoperable COTS solutions for Design/Analysis integration in PDM context based on an international standard.</w:t>
      </w:r>
    </w:p>
    <w:p w:rsidR="00582482" w:rsidRDefault="00582482" w:rsidP="00582482">
      <w:pPr>
        <w:pStyle w:val="Corpsdetexte"/>
      </w:pPr>
    </w:p>
    <w:p w:rsidR="00582482" w:rsidRDefault="00582482" w:rsidP="00582482">
      <w:pPr>
        <w:pStyle w:val="Corpsdetexte"/>
      </w:pPr>
      <w:r>
        <w:t>On top of that, sharing a common data structure between various engineering analysis disciplines (such as structure analyses, CFD, and thermal) enables multidisciplinary analyses and optimizations that are the ultimate objective of STEP AP209 ED2.</w:t>
      </w:r>
    </w:p>
    <w:p w:rsidR="00582482" w:rsidRDefault="00582482" w:rsidP="00582482">
      <w:pPr>
        <w:pStyle w:val="Corpsdetexte"/>
      </w:pPr>
      <w:r>
        <w:t>STEP AP 209 is implemented at three different levels:</w:t>
      </w:r>
    </w:p>
    <w:p w:rsidR="00582482" w:rsidRDefault="00582482" w:rsidP="00582482">
      <w:pPr>
        <w:pStyle w:val="Corpsdetexte"/>
        <w:numPr>
          <w:ilvl w:val="0"/>
          <w:numId w:val="4"/>
        </w:numPr>
      </w:pPr>
      <w:r>
        <w:t>Mono disciplinary simulation tools;</w:t>
      </w:r>
    </w:p>
    <w:p w:rsidR="00582482" w:rsidRDefault="00582482" w:rsidP="00582482">
      <w:pPr>
        <w:pStyle w:val="Corpsdetexte"/>
        <w:numPr>
          <w:ilvl w:val="0"/>
          <w:numId w:val="4"/>
        </w:numPr>
      </w:pPr>
      <w:r>
        <w:t>Simulation Data Management;</w:t>
      </w:r>
    </w:p>
    <w:p w:rsidR="00582482" w:rsidRDefault="00582482" w:rsidP="00582482">
      <w:pPr>
        <w:pStyle w:val="Corpsdetexte"/>
        <w:numPr>
          <w:ilvl w:val="0"/>
          <w:numId w:val="4"/>
        </w:numPr>
      </w:pPr>
      <w:r>
        <w:t xml:space="preserve">CAE Services. </w:t>
      </w:r>
    </w:p>
    <w:p w:rsidR="00582482" w:rsidRDefault="00582482" w:rsidP="00582482">
      <w:pPr>
        <w:jc w:val="both"/>
        <w:rPr>
          <w:rFonts w:ascii="Arial" w:hAnsi="Arial"/>
          <w:lang w:val="en-US"/>
        </w:rPr>
      </w:pPr>
    </w:p>
    <w:p w:rsidR="00582482" w:rsidRPr="00617303" w:rsidRDefault="00582482" w:rsidP="00582482">
      <w:pPr>
        <w:pStyle w:val="Clause"/>
        <w:rPr>
          <w:rFonts w:ascii="Arial" w:hAnsi="Arial" w:cs="Arial"/>
        </w:rPr>
      </w:pPr>
      <w:r w:rsidRPr="00617303">
        <w:rPr>
          <w:rFonts w:ascii="Arial" w:hAnsi="Arial" w:cs="Arial"/>
        </w:rPr>
        <w:t xml:space="preserve">Description of activity/deliverables  </w:t>
      </w:r>
    </w:p>
    <w:p w:rsidR="00582482" w:rsidRPr="003E32F8" w:rsidRDefault="00582482" w:rsidP="00582482">
      <w:pPr>
        <w:pStyle w:val="Subclause"/>
        <w:rPr>
          <w:rFonts w:ascii="Arial" w:hAnsi="Arial"/>
          <w:bCs w:val="0"/>
          <w:u w:val="single"/>
        </w:rPr>
      </w:pPr>
      <w:r w:rsidRPr="003E32F8">
        <w:rPr>
          <w:rFonts w:ascii="Arial" w:hAnsi="Arial"/>
          <w:bCs w:val="0"/>
          <w:u w:val="single"/>
        </w:rPr>
        <w:t>Activities</w:t>
      </w:r>
    </w:p>
    <w:p w:rsidR="00582482" w:rsidRDefault="00582482" w:rsidP="00582482">
      <w:pPr>
        <w:pStyle w:val="Bullet"/>
        <w:numPr>
          <w:ilvl w:val="0"/>
          <w:numId w:val="7"/>
        </w:numPr>
        <w:rPr>
          <w:rFonts w:ascii="Arial" w:hAnsi="Arial"/>
        </w:rPr>
      </w:pPr>
      <w:r w:rsidRPr="00617303">
        <w:rPr>
          <w:rFonts w:ascii="Arial" w:hAnsi="Arial"/>
        </w:rPr>
        <w:t>Publish</w:t>
      </w:r>
      <w:r>
        <w:rPr>
          <w:rFonts w:ascii="Arial" w:hAnsi="Arial"/>
        </w:rPr>
        <w:t>ed standard is</w:t>
      </w:r>
      <w:r w:rsidRPr="00617303">
        <w:rPr>
          <w:rFonts w:ascii="Arial" w:hAnsi="Arial"/>
        </w:rPr>
        <w:t xml:space="preserve"> maintained by ISO </w:t>
      </w:r>
    </w:p>
    <w:p w:rsidR="00582482" w:rsidRDefault="00582482" w:rsidP="00582482">
      <w:pPr>
        <w:pStyle w:val="Bullet"/>
        <w:numPr>
          <w:ilvl w:val="0"/>
          <w:numId w:val="7"/>
        </w:numPr>
        <w:rPr>
          <w:rFonts w:ascii="Arial" w:hAnsi="Arial"/>
        </w:rPr>
      </w:pPr>
      <w:r>
        <w:rPr>
          <w:rFonts w:ascii="Arial" w:hAnsi="Arial"/>
        </w:rPr>
        <w:t>I</w:t>
      </w:r>
      <w:r w:rsidRPr="00617303">
        <w:rPr>
          <w:rFonts w:ascii="Arial" w:hAnsi="Arial"/>
        </w:rPr>
        <w:t>ndividual ASD members participate th</w:t>
      </w:r>
      <w:r>
        <w:rPr>
          <w:rFonts w:ascii="Arial" w:hAnsi="Arial"/>
        </w:rPr>
        <w:t>rough their national committees and through other related standardization projects or industrial programs.</w:t>
      </w:r>
    </w:p>
    <w:p w:rsidR="00582482" w:rsidRDefault="00582482" w:rsidP="00582482">
      <w:pPr>
        <w:pStyle w:val="Bullet"/>
        <w:numPr>
          <w:ilvl w:val="0"/>
          <w:numId w:val="7"/>
        </w:numPr>
        <w:rPr>
          <w:rFonts w:ascii="Arial" w:hAnsi="Arial"/>
        </w:rPr>
      </w:pPr>
      <w:r>
        <w:rPr>
          <w:rFonts w:ascii="Arial" w:hAnsi="Arial"/>
        </w:rPr>
        <w:t xml:space="preserve">PDES </w:t>
      </w:r>
      <w:proofErr w:type="spellStart"/>
      <w:r>
        <w:rPr>
          <w:rFonts w:ascii="Arial" w:hAnsi="Arial"/>
        </w:rPr>
        <w:t>Inc</w:t>
      </w:r>
      <w:proofErr w:type="spellEnd"/>
      <w:r>
        <w:rPr>
          <w:rFonts w:ascii="Arial" w:hAnsi="Arial"/>
        </w:rPr>
        <w:t xml:space="preserve"> project “Engineering Analysis”</w:t>
      </w:r>
    </w:p>
    <w:p w:rsidR="00582482" w:rsidRPr="00617303" w:rsidRDefault="00582482" w:rsidP="00582482">
      <w:pPr>
        <w:pStyle w:val="Bullet"/>
        <w:numPr>
          <w:ilvl w:val="0"/>
          <w:numId w:val="7"/>
        </w:numPr>
        <w:rPr>
          <w:rFonts w:ascii="Arial" w:hAnsi="Arial"/>
        </w:rPr>
      </w:pPr>
      <w:proofErr w:type="spellStart"/>
      <w:r>
        <w:rPr>
          <w:rFonts w:ascii="Arial" w:hAnsi="Arial"/>
        </w:rPr>
        <w:t>ProSTEP</w:t>
      </w:r>
      <w:proofErr w:type="spellEnd"/>
      <w:r>
        <w:rPr>
          <w:rFonts w:ascii="Arial" w:hAnsi="Arial"/>
        </w:rPr>
        <w:t xml:space="preserve"> </w:t>
      </w:r>
      <w:proofErr w:type="spellStart"/>
      <w:r>
        <w:rPr>
          <w:rFonts w:ascii="Arial" w:hAnsi="Arial"/>
        </w:rPr>
        <w:t>iViP</w:t>
      </w:r>
      <w:proofErr w:type="spellEnd"/>
      <w:r>
        <w:rPr>
          <w:rFonts w:ascii="Arial" w:hAnsi="Arial"/>
        </w:rPr>
        <w:t xml:space="preserve"> CAE services based on AP 209 ED1.</w:t>
      </w:r>
    </w:p>
    <w:p w:rsidR="00582482" w:rsidRDefault="00582482" w:rsidP="00582482">
      <w:pPr>
        <w:pStyle w:val="Subclause"/>
        <w:rPr>
          <w:rFonts w:ascii="Arial" w:hAnsi="Arial"/>
          <w:bCs w:val="0"/>
          <w:u w:val="single"/>
        </w:rPr>
      </w:pPr>
    </w:p>
    <w:p w:rsidR="00582482" w:rsidRPr="00C210CB" w:rsidRDefault="00582482" w:rsidP="00582482">
      <w:pPr>
        <w:pStyle w:val="Subclause"/>
        <w:rPr>
          <w:rFonts w:ascii="Arial" w:hAnsi="Arial"/>
          <w:bCs w:val="0"/>
          <w:u w:val="single"/>
        </w:rPr>
      </w:pPr>
      <w:r w:rsidRPr="00C210CB">
        <w:rPr>
          <w:rFonts w:ascii="Arial" w:hAnsi="Arial"/>
          <w:bCs w:val="0"/>
          <w:u w:val="single"/>
        </w:rPr>
        <w:t xml:space="preserve">Deliverables </w:t>
      </w:r>
    </w:p>
    <w:p w:rsidR="00582482" w:rsidRDefault="00582482" w:rsidP="00582482">
      <w:pPr>
        <w:pStyle w:val="Subclause"/>
        <w:numPr>
          <w:ilvl w:val="0"/>
          <w:numId w:val="6"/>
        </w:numPr>
        <w:spacing w:before="0"/>
        <w:rPr>
          <w:rFonts w:ascii="Arial" w:hAnsi="Arial"/>
          <w:bCs w:val="0"/>
        </w:rPr>
      </w:pPr>
      <w:r>
        <w:rPr>
          <w:rFonts w:ascii="Arial" w:hAnsi="Arial"/>
          <w:bCs w:val="0"/>
        </w:rPr>
        <w:t>ISO 10303-209 ED1: 2001</w:t>
      </w:r>
    </w:p>
    <w:p w:rsidR="00582482" w:rsidRPr="00CC6D1A" w:rsidRDefault="00CC6D1A" w:rsidP="00582482">
      <w:pPr>
        <w:pStyle w:val="Subclause"/>
        <w:numPr>
          <w:ilvl w:val="0"/>
          <w:numId w:val="6"/>
        </w:numPr>
        <w:spacing w:before="0"/>
        <w:rPr>
          <w:rFonts w:ascii="Arial" w:hAnsi="Arial"/>
          <w:bCs w:val="0"/>
        </w:rPr>
      </w:pPr>
      <w:r>
        <w:rPr>
          <w:rFonts w:ascii="Arial" w:hAnsi="Arial"/>
          <w:bCs w:val="0"/>
        </w:rPr>
        <w:t>ISO 10303-209 ED2: 2014</w:t>
      </w:r>
    </w:p>
    <w:p w:rsidR="00582482" w:rsidRDefault="00582482" w:rsidP="00582482">
      <w:pPr>
        <w:pStyle w:val="Subclause"/>
        <w:numPr>
          <w:ilvl w:val="0"/>
          <w:numId w:val="6"/>
        </w:numPr>
        <w:spacing w:before="0"/>
        <w:rPr>
          <w:rFonts w:ascii="Arial" w:hAnsi="Arial"/>
          <w:bCs w:val="0"/>
        </w:rPr>
      </w:pPr>
      <w:r w:rsidRPr="00C210CB">
        <w:rPr>
          <w:rFonts w:ascii="Arial" w:hAnsi="Arial"/>
          <w:bCs w:val="0"/>
        </w:rPr>
        <w:t>Recommended Practices for STEP AP 209 ED1 (June 25, 1999)</w:t>
      </w:r>
    </w:p>
    <w:p w:rsidR="00582482" w:rsidRDefault="00582482" w:rsidP="00582482">
      <w:pPr>
        <w:pStyle w:val="Subclause"/>
        <w:numPr>
          <w:ilvl w:val="0"/>
          <w:numId w:val="6"/>
        </w:numPr>
        <w:spacing w:before="0"/>
        <w:rPr>
          <w:rFonts w:ascii="Arial" w:hAnsi="Arial"/>
          <w:bCs w:val="0"/>
        </w:rPr>
      </w:pPr>
      <w:r>
        <w:rPr>
          <w:rFonts w:ascii="Arial" w:hAnsi="Arial"/>
          <w:bCs w:val="0"/>
        </w:rPr>
        <w:t>Recommended Practices for STEP Composites (June 2013)</w:t>
      </w:r>
    </w:p>
    <w:p w:rsidR="00582482" w:rsidRPr="00C210CB" w:rsidRDefault="00582482" w:rsidP="00582482">
      <w:pPr>
        <w:pStyle w:val="Subclause"/>
        <w:numPr>
          <w:ilvl w:val="0"/>
          <w:numId w:val="6"/>
        </w:numPr>
        <w:spacing w:before="0"/>
        <w:rPr>
          <w:rFonts w:ascii="Arial" w:hAnsi="Arial"/>
          <w:bCs w:val="0"/>
        </w:rPr>
      </w:pPr>
      <w:r>
        <w:rPr>
          <w:rFonts w:ascii="Arial" w:hAnsi="Arial"/>
          <w:bCs w:val="0"/>
        </w:rPr>
        <w:t>Recommended Practices for CAD: same than for STEP AP 203, AP214, and AP242.</w:t>
      </w:r>
    </w:p>
    <w:p w:rsidR="00582482" w:rsidRDefault="00582482" w:rsidP="00582482">
      <w:pPr>
        <w:pStyle w:val="Clause"/>
        <w:rPr>
          <w:rFonts w:ascii="Arial" w:hAnsi="Arial" w:cs="Arial"/>
        </w:rPr>
      </w:pPr>
      <w:r>
        <w:rPr>
          <w:rFonts w:ascii="Arial" w:hAnsi="Arial" w:cs="Arial"/>
        </w:rPr>
        <w:br w:type="page"/>
      </w:r>
      <w:r>
        <w:rPr>
          <w:rFonts w:ascii="Arial" w:hAnsi="Arial" w:cs="Arial"/>
        </w:rPr>
        <w:lastRenderedPageBreak/>
        <w:t>Business benefits</w:t>
      </w:r>
    </w:p>
    <w:p w:rsidR="00582482" w:rsidRDefault="00582482" w:rsidP="00582482">
      <w:pPr>
        <w:pStyle w:val="Bullet"/>
        <w:numPr>
          <w:ilvl w:val="0"/>
          <w:numId w:val="1"/>
        </w:numPr>
        <w:rPr>
          <w:rFonts w:ascii="Arial" w:hAnsi="Arial"/>
        </w:rPr>
      </w:pPr>
      <w:r w:rsidRPr="00C210CB">
        <w:rPr>
          <w:rFonts w:ascii="Arial" w:hAnsi="Arial"/>
          <w:u w:val="single"/>
        </w:rPr>
        <w:t>Collaborative analysis and design</w:t>
      </w:r>
      <w:r w:rsidRPr="00105D91">
        <w:rPr>
          <w:rFonts w:ascii="Arial" w:hAnsi="Arial"/>
        </w:rPr>
        <w:t>: Companies using different CAD and FEA systems will be able to exchange engineering design and analysis data using AP209-based standard file formats.</w:t>
      </w:r>
    </w:p>
    <w:p w:rsidR="00582482" w:rsidRDefault="00582482" w:rsidP="00582482">
      <w:pPr>
        <w:pStyle w:val="Bullet"/>
        <w:numPr>
          <w:ilvl w:val="0"/>
          <w:numId w:val="1"/>
        </w:numPr>
        <w:rPr>
          <w:rFonts w:ascii="Arial" w:hAnsi="Arial"/>
        </w:rPr>
      </w:pPr>
      <w:r w:rsidRPr="00C210CB">
        <w:rPr>
          <w:rFonts w:ascii="Arial" w:hAnsi="Arial"/>
          <w:u w:val="single"/>
        </w:rPr>
        <w:t>Archiving of analysis and design data</w:t>
      </w:r>
      <w:r w:rsidRPr="00105D91">
        <w:rPr>
          <w:rFonts w:ascii="Arial" w:hAnsi="Arial"/>
        </w:rPr>
        <w:t>: A company will be able to archive associated, configuration managed CAD and FEA data in AP209-based standard format, confident that that data can be reused in the future, whatever system changes have occurred.</w:t>
      </w:r>
    </w:p>
    <w:p w:rsidR="00582482" w:rsidRDefault="00582482" w:rsidP="00582482">
      <w:pPr>
        <w:pStyle w:val="Bullet"/>
        <w:numPr>
          <w:ilvl w:val="0"/>
          <w:numId w:val="1"/>
        </w:numPr>
        <w:rPr>
          <w:rFonts w:ascii="Arial" w:hAnsi="Arial"/>
        </w:rPr>
      </w:pPr>
      <w:r w:rsidRPr="00C210CB">
        <w:rPr>
          <w:rFonts w:ascii="Arial" w:hAnsi="Arial"/>
          <w:u w:val="single"/>
        </w:rPr>
        <w:t>Development of integrated systems</w:t>
      </w:r>
      <w:r w:rsidRPr="00105D91">
        <w:rPr>
          <w:rFonts w:ascii="Arial" w:hAnsi="Arial"/>
        </w:rPr>
        <w:t>: A com</w:t>
      </w:r>
      <w:r>
        <w:rPr>
          <w:rFonts w:ascii="Arial" w:hAnsi="Arial"/>
        </w:rPr>
        <w:t xml:space="preserve">pany will be able to develop </w:t>
      </w:r>
      <w:r w:rsidRPr="00105D91">
        <w:rPr>
          <w:rFonts w:ascii="Arial" w:hAnsi="Arial"/>
        </w:rPr>
        <w:t>integrated system</w:t>
      </w:r>
      <w:r>
        <w:rPr>
          <w:rFonts w:ascii="Arial" w:hAnsi="Arial"/>
        </w:rPr>
        <w:t>s</w:t>
      </w:r>
      <w:r w:rsidRPr="00105D91">
        <w:rPr>
          <w:rFonts w:ascii="Arial" w:hAnsi="Arial"/>
        </w:rPr>
        <w:t xml:space="preserve"> combining design and analysis based upon standard interfaces built upon the AP209 schema</w:t>
      </w:r>
      <w:r>
        <w:rPr>
          <w:rFonts w:ascii="Arial" w:hAnsi="Arial"/>
        </w:rPr>
        <w:t>.</w:t>
      </w:r>
    </w:p>
    <w:p w:rsidR="00582482" w:rsidRPr="00030E63" w:rsidRDefault="00582482" w:rsidP="00582482">
      <w:pPr>
        <w:numPr>
          <w:ilvl w:val="0"/>
          <w:numId w:val="1"/>
        </w:numPr>
        <w:jc w:val="both"/>
        <w:rPr>
          <w:rFonts w:ascii="Arial" w:hAnsi="Arial"/>
          <w:lang w:val="en-US"/>
        </w:rPr>
      </w:pPr>
      <w:r>
        <w:rPr>
          <w:rFonts w:ascii="Arial" w:hAnsi="Arial"/>
          <w:lang w:val="en-US"/>
        </w:rPr>
        <w:t>The STEP modular approach of AP 209 ensures the interoperability with other Application Protocols, such as AP 242, AP 233 or AP 210.</w:t>
      </w:r>
    </w:p>
    <w:p w:rsidR="00582482" w:rsidRPr="00617303" w:rsidRDefault="00582482" w:rsidP="00582482">
      <w:pPr>
        <w:pStyle w:val="Clause"/>
        <w:rPr>
          <w:rFonts w:ascii="Arial" w:hAnsi="Arial" w:cs="Arial"/>
        </w:rPr>
      </w:pPr>
      <w:r w:rsidRPr="00617303">
        <w:rPr>
          <w:rFonts w:ascii="Arial" w:hAnsi="Arial" w:cs="Arial"/>
        </w:rPr>
        <w:t>Location in ASD SSG Framework</w:t>
      </w:r>
    </w:p>
    <w:p w:rsidR="00582482" w:rsidRPr="00617303" w:rsidRDefault="00582482" w:rsidP="00582482">
      <w:pPr>
        <w:rPr>
          <w:rFonts w:ascii="Arial" w:hAnsi="Arial"/>
          <w:lang w:val="en-US"/>
        </w:rPr>
      </w:pPr>
      <w:smartTag w:uri="urn:schemas-microsoft-com:office:smarttags" w:element="place">
        <w:smartTag w:uri="urn:schemas-microsoft-com:office:smarttags" w:element="City">
          <w:r w:rsidRPr="00617303">
            <w:rPr>
              <w:rFonts w:ascii="Arial" w:hAnsi="Arial"/>
              <w:lang w:val="en-US"/>
            </w:rPr>
            <w:t>Enterprise</w:t>
          </w:r>
        </w:smartTag>
      </w:smartTag>
      <w:r w:rsidRPr="00617303">
        <w:rPr>
          <w:rFonts w:ascii="Arial" w:hAnsi="Arial"/>
          <w:lang w:val="en-US"/>
        </w:rPr>
        <w:t xml:space="preserve"> Information - Product definition data through life</w:t>
      </w:r>
    </w:p>
    <w:p w:rsidR="00582482" w:rsidRPr="00617303" w:rsidRDefault="00582482" w:rsidP="00582482">
      <w:pPr>
        <w:pStyle w:val="Clause"/>
        <w:rPr>
          <w:rFonts w:ascii="Arial" w:hAnsi="Arial" w:cs="Arial"/>
        </w:rPr>
      </w:pPr>
      <w:r w:rsidRPr="00617303">
        <w:rPr>
          <w:rFonts w:ascii="Arial" w:hAnsi="Arial" w:cs="Arial"/>
        </w:rPr>
        <w:t>ASD SSG action plan</w:t>
      </w:r>
    </w:p>
    <w:p w:rsidR="00582482" w:rsidRDefault="00582482" w:rsidP="00582482">
      <w:pPr>
        <w:pStyle w:val="Bullet"/>
        <w:rPr>
          <w:rFonts w:ascii="Arial" w:hAnsi="Arial"/>
        </w:rPr>
      </w:pPr>
      <w:r>
        <w:rPr>
          <w:rFonts w:ascii="Arial" w:hAnsi="Arial"/>
        </w:rPr>
        <w:t>General STEP action plan:</w:t>
      </w:r>
    </w:p>
    <w:p w:rsidR="00582482" w:rsidRPr="00617303" w:rsidRDefault="00582482" w:rsidP="00582482">
      <w:pPr>
        <w:pStyle w:val="Bullet"/>
        <w:numPr>
          <w:ilvl w:val="0"/>
          <w:numId w:val="2"/>
        </w:numPr>
        <w:rPr>
          <w:rFonts w:ascii="Arial" w:hAnsi="Arial"/>
        </w:rPr>
      </w:pPr>
      <w:r w:rsidRPr="00617303">
        <w:rPr>
          <w:rFonts w:ascii="Arial" w:hAnsi="Arial"/>
        </w:rPr>
        <w:t>Development of ASD CAD</w:t>
      </w:r>
      <w:r>
        <w:rPr>
          <w:rFonts w:ascii="Arial" w:hAnsi="Arial"/>
        </w:rPr>
        <w:t>-CAE</w:t>
      </w:r>
      <w:r w:rsidRPr="00617303">
        <w:rPr>
          <w:rFonts w:ascii="Arial" w:hAnsi="Arial"/>
        </w:rPr>
        <w:t xml:space="preserve"> and PLM policies with supporting STEP Implementation Guidelines t</w:t>
      </w:r>
      <w:r>
        <w:rPr>
          <w:rFonts w:ascii="Arial" w:hAnsi="Arial"/>
        </w:rPr>
        <w:t>argeted at supplier marketplace;</w:t>
      </w:r>
    </w:p>
    <w:p w:rsidR="00582482" w:rsidRDefault="00582482" w:rsidP="00582482">
      <w:pPr>
        <w:pStyle w:val="Bullet"/>
        <w:numPr>
          <w:ilvl w:val="0"/>
          <w:numId w:val="2"/>
        </w:numPr>
        <w:rPr>
          <w:rFonts w:ascii="Arial" w:hAnsi="Arial"/>
        </w:rPr>
      </w:pPr>
      <w:r w:rsidRPr="00617303">
        <w:rPr>
          <w:rFonts w:ascii="Arial" w:hAnsi="Arial"/>
        </w:rPr>
        <w:t xml:space="preserve">Adoption of relevant available ISO 10303 Application Protocols as part of </w:t>
      </w:r>
      <w:proofErr w:type="spellStart"/>
      <w:r w:rsidRPr="00617303">
        <w:rPr>
          <w:rFonts w:ascii="Arial" w:hAnsi="Arial"/>
        </w:rPr>
        <w:t>eBusiness</w:t>
      </w:r>
      <w:proofErr w:type="spellEnd"/>
      <w:r w:rsidRPr="00617303">
        <w:rPr>
          <w:rFonts w:ascii="Arial" w:hAnsi="Arial"/>
        </w:rPr>
        <w:t xml:space="preserve"> framework</w:t>
      </w:r>
      <w:r>
        <w:rPr>
          <w:rFonts w:ascii="Arial" w:hAnsi="Arial"/>
        </w:rPr>
        <w:t>;</w:t>
      </w:r>
    </w:p>
    <w:p w:rsidR="00582482" w:rsidRDefault="00582482" w:rsidP="00582482">
      <w:pPr>
        <w:numPr>
          <w:ilvl w:val="0"/>
          <w:numId w:val="2"/>
        </w:numPr>
        <w:rPr>
          <w:rFonts w:ascii="Arial" w:hAnsi="Arial" w:cs="Arial"/>
          <w:lang w:val="en-US"/>
        </w:rPr>
      </w:pPr>
      <w:r>
        <w:rPr>
          <w:rFonts w:ascii="Arial" w:hAnsi="Arial" w:cs="Arial"/>
          <w:lang w:val="en-US"/>
        </w:rPr>
        <w:t>Define use cases and test cases for multidisciplinary analysis;</w:t>
      </w:r>
    </w:p>
    <w:p w:rsidR="00582482" w:rsidRPr="00E77860" w:rsidRDefault="00582482" w:rsidP="00582482">
      <w:pPr>
        <w:numPr>
          <w:ilvl w:val="0"/>
          <w:numId w:val="2"/>
        </w:numPr>
        <w:rPr>
          <w:rFonts w:ascii="Arial" w:hAnsi="Arial" w:cs="Arial"/>
          <w:lang w:val="en-US"/>
        </w:rPr>
      </w:pPr>
      <w:r>
        <w:rPr>
          <w:rFonts w:ascii="Arial" w:hAnsi="Arial" w:cs="Arial"/>
          <w:lang w:val="en-US"/>
        </w:rPr>
        <w:t>Ensure coordination with European Community Aerospace R&amp;D projects (Crescendo, TOICA, …);</w:t>
      </w:r>
    </w:p>
    <w:p w:rsidR="00582482" w:rsidRDefault="00582482" w:rsidP="00582482">
      <w:pPr>
        <w:numPr>
          <w:ilvl w:val="0"/>
          <w:numId w:val="2"/>
        </w:numPr>
        <w:rPr>
          <w:rFonts w:ascii="Arial" w:hAnsi="Arial" w:cs="Arial"/>
          <w:lang w:val="en-US"/>
        </w:rPr>
      </w:pPr>
      <w:r>
        <w:rPr>
          <w:rFonts w:ascii="Arial" w:hAnsi="Arial" w:cs="Arial"/>
          <w:lang w:val="en-US"/>
        </w:rPr>
        <w:t>Initiation and contribution to Implementer Forum (IF) for:</w:t>
      </w:r>
    </w:p>
    <w:p w:rsidR="00582482" w:rsidRDefault="00582482" w:rsidP="00582482">
      <w:pPr>
        <w:numPr>
          <w:ilvl w:val="1"/>
          <w:numId w:val="2"/>
        </w:numPr>
        <w:rPr>
          <w:rFonts w:ascii="Arial" w:hAnsi="Arial" w:cs="Arial"/>
          <w:lang w:val="en-US"/>
        </w:rPr>
      </w:pPr>
      <w:r>
        <w:rPr>
          <w:rFonts w:ascii="Arial" w:hAnsi="Arial" w:cs="Arial"/>
          <w:lang w:val="en-US"/>
        </w:rPr>
        <w:t>The qualification of AP 209  interfaces of PLM vendors;</w:t>
      </w:r>
    </w:p>
    <w:p w:rsidR="00582482" w:rsidRDefault="00582482" w:rsidP="00582482">
      <w:pPr>
        <w:numPr>
          <w:ilvl w:val="1"/>
          <w:numId w:val="2"/>
        </w:numPr>
        <w:rPr>
          <w:rFonts w:ascii="Arial" w:hAnsi="Arial" w:cs="Arial"/>
          <w:lang w:val="en-US"/>
        </w:rPr>
      </w:pPr>
      <w:r>
        <w:rPr>
          <w:rFonts w:ascii="Arial" w:hAnsi="Arial" w:cs="Arial"/>
          <w:lang w:val="en-US"/>
        </w:rPr>
        <w:t>The development of AP 209 Recommended Practices, harmonized with the other relevant Application Protocols.</w:t>
      </w:r>
    </w:p>
    <w:p w:rsidR="00582482" w:rsidRPr="005C03E7" w:rsidRDefault="00582482" w:rsidP="00582482">
      <w:pPr>
        <w:pStyle w:val="Bullet"/>
        <w:numPr>
          <w:ilvl w:val="0"/>
          <w:numId w:val="2"/>
        </w:numPr>
        <w:rPr>
          <w:rFonts w:ascii="Arial" w:hAnsi="Arial"/>
        </w:rPr>
      </w:pPr>
      <w:r>
        <w:rPr>
          <w:rFonts w:ascii="Arial" w:hAnsi="Arial"/>
        </w:rPr>
        <w:t>R</w:t>
      </w:r>
      <w:r w:rsidRPr="005C03E7">
        <w:rPr>
          <w:rFonts w:ascii="Arial" w:hAnsi="Arial"/>
        </w:rPr>
        <w:t>egular follow-up during SSG component standards reviews.</w:t>
      </w:r>
    </w:p>
    <w:p w:rsidR="00582482" w:rsidRPr="00617303" w:rsidRDefault="00582482" w:rsidP="00582482">
      <w:pPr>
        <w:pStyle w:val="Clause"/>
        <w:rPr>
          <w:rFonts w:ascii="Arial" w:hAnsi="Arial" w:cs="Arial"/>
        </w:rPr>
      </w:pPr>
      <w:r w:rsidRPr="00617303">
        <w:rPr>
          <w:rFonts w:ascii="Arial" w:hAnsi="Arial" w:cs="Arial"/>
        </w:rPr>
        <w:t>ASD SSG Status (updated)</w:t>
      </w:r>
    </w:p>
    <w:p w:rsidR="00582482" w:rsidRPr="00617303" w:rsidRDefault="00582482" w:rsidP="00582482">
      <w:pPr>
        <w:rPr>
          <w:rFonts w:ascii="Arial" w:hAnsi="Arial" w:cs="Arial"/>
          <w:lang w:val="en-US"/>
        </w:rPr>
      </w:pPr>
      <w:r>
        <w:rPr>
          <w:rFonts w:ascii="Arial" w:hAnsi="Arial" w:cs="Arial"/>
          <w:lang w:val="en-US"/>
        </w:rPr>
        <w:t>This blip has been proposed during the SSG meeting in July 2013</w:t>
      </w:r>
      <w:r w:rsidR="00CC6D1A">
        <w:rPr>
          <w:rFonts w:ascii="Arial" w:hAnsi="Arial" w:cs="Arial"/>
          <w:lang w:val="en-US"/>
        </w:rPr>
        <w:t>, and updated in January 2015.</w:t>
      </w:r>
    </w:p>
    <w:p w:rsidR="00582482" w:rsidRPr="00617303" w:rsidRDefault="00582482" w:rsidP="00582482">
      <w:pPr>
        <w:pStyle w:val="Clause"/>
        <w:rPr>
          <w:rFonts w:ascii="Arial" w:hAnsi="Arial" w:cs="Arial"/>
        </w:rPr>
      </w:pPr>
      <w:r w:rsidRPr="00617303">
        <w:rPr>
          <w:rFonts w:ascii="Arial" w:hAnsi="Arial" w:cs="Arial"/>
        </w:rPr>
        <w:t>Adoption Plan</w:t>
      </w:r>
    </w:p>
    <w:p w:rsidR="00582482" w:rsidRPr="00617303" w:rsidRDefault="0036104E" w:rsidP="00582482">
      <w:pPr>
        <w:jc w:val="both"/>
        <w:rPr>
          <w:rFonts w:ascii="Arial" w:hAnsi="Arial"/>
          <w:lang w:val="en-US"/>
        </w:rPr>
      </w:pPr>
      <w:r>
        <w:rPr>
          <w:rFonts w:ascii="Arial" w:hAnsi="Arial"/>
          <w:lang w:val="en-US"/>
        </w:rPr>
        <w:t xml:space="preserve">ASD SSG plans </w:t>
      </w:r>
      <w:r w:rsidR="00965047">
        <w:rPr>
          <w:rFonts w:ascii="Arial" w:hAnsi="Arial"/>
          <w:lang w:val="en-US"/>
        </w:rPr>
        <w:t>to adopt AP209 once indust</w:t>
      </w:r>
      <w:r w:rsidR="00F3151B">
        <w:rPr>
          <w:rFonts w:ascii="Arial" w:hAnsi="Arial"/>
          <w:lang w:val="en-US"/>
        </w:rPr>
        <w:t>rial demonstration is available.</w:t>
      </w:r>
    </w:p>
    <w:p w:rsidR="00582482" w:rsidRPr="00617303" w:rsidRDefault="00582482" w:rsidP="00582482">
      <w:pPr>
        <w:pStyle w:val="Clause"/>
        <w:rPr>
          <w:rFonts w:ascii="Arial" w:hAnsi="Arial" w:cs="Arial"/>
        </w:rPr>
      </w:pPr>
      <w:r w:rsidRPr="00617303">
        <w:rPr>
          <w:rFonts w:ascii="Arial" w:hAnsi="Arial" w:cs="Arial"/>
        </w:rPr>
        <w:t xml:space="preserve">ASD adoption statement </w:t>
      </w:r>
    </w:p>
    <w:p w:rsidR="00582482" w:rsidRDefault="00582482" w:rsidP="00582482">
      <w:pPr>
        <w:jc w:val="both"/>
        <w:rPr>
          <w:rFonts w:ascii="Arial" w:hAnsi="Arial" w:cs="Arial"/>
          <w:lang w:val="en-US"/>
        </w:rPr>
      </w:pPr>
      <w:r>
        <w:rPr>
          <w:rFonts w:ascii="Arial" w:hAnsi="Arial" w:cs="Arial"/>
          <w:lang w:val="en-US"/>
        </w:rPr>
        <w:t>None</w:t>
      </w:r>
      <w:r w:rsidR="0036104E">
        <w:rPr>
          <w:rFonts w:ascii="Arial" w:hAnsi="Arial" w:cs="Arial"/>
          <w:lang w:val="en-US"/>
        </w:rPr>
        <w:t xml:space="preserve"> at this stage</w:t>
      </w:r>
    </w:p>
    <w:p w:rsidR="00582482" w:rsidRDefault="00582482" w:rsidP="00582482">
      <w:pPr>
        <w:pStyle w:val="Clause"/>
        <w:rPr>
          <w:rFonts w:ascii="Arial" w:hAnsi="Arial" w:cs="Arial"/>
        </w:rPr>
      </w:pPr>
      <w:r>
        <w:rPr>
          <w:rFonts w:ascii="Arial" w:hAnsi="Arial" w:cs="Arial"/>
        </w:rPr>
        <w:t xml:space="preserve">ASD recommendation </w:t>
      </w:r>
    </w:p>
    <w:p w:rsidR="00582482" w:rsidRDefault="00582482" w:rsidP="00582482">
      <w:pPr>
        <w:rPr>
          <w:rFonts w:ascii="Arial" w:hAnsi="Arial" w:cs="Arial"/>
          <w:lang w:val="en-US"/>
        </w:rPr>
      </w:pPr>
      <w:r>
        <w:rPr>
          <w:rFonts w:ascii="Arial" w:hAnsi="Arial" w:cs="Arial"/>
          <w:lang w:val="en-US"/>
        </w:rPr>
        <w:t>None</w:t>
      </w:r>
      <w:r w:rsidR="0036104E">
        <w:rPr>
          <w:rFonts w:ascii="Arial" w:hAnsi="Arial" w:cs="Arial"/>
          <w:lang w:val="en-US"/>
        </w:rPr>
        <w:t xml:space="preserve"> at this stage</w:t>
      </w:r>
    </w:p>
    <w:p w:rsidR="00582482" w:rsidRDefault="00582482" w:rsidP="00582482">
      <w:pPr>
        <w:pStyle w:val="Clause"/>
        <w:rPr>
          <w:rFonts w:ascii="Arial" w:hAnsi="Arial"/>
        </w:rPr>
      </w:pPr>
      <w:r>
        <w:rPr>
          <w:rFonts w:ascii="Arial" w:hAnsi="Arial"/>
        </w:rPr>
        <w:t xml:space="preserve">Link to a standards host site </w:t>
      </w:r>
    </w:p>
    <w:p w:rsidR="00582482" w:rsidRPr="00FD6EE8" w:rsidRDefault="00582482" w:rsidP="00582482">
      <w:pPr>
        <w:rPr>
          <w:rFonts w:ascii="Arial" w:hAnsi="Arial"/>
          <w:lang w:val="en-US"/>
        </w:rPr>
      </w:pPr>
      <w:r w:rsidRPr="00FD6EE8">
        <w:rPr>
          <w:rFonts w:ascii="Arial" w:hAnsi="Arial"/>
          <w:lang w:val="en-US"/>
        </w:rPr>
        <w:t xml:space="preserve">ISO TC184/SC4 - </w:t>
      </w:r>
      <w:hyperlink r:id="rId8" w:history="1">
        <w:r w:rsidRPr="00FD6EE8">
          <w:rPr>
            <w:rStyle w:val="Lienhypertexte"/>
            <w:rFonts w:ascii="Arial" w:hAnsi="Arial"/>
            <w:lang w:val="en-US"/>
          </w:rPr>
          <w:t>http://www.tc184-sc4.org</w:t>
        </w:r>
      </w:hyperlink>
      <w:r w:rsidRPr="00FD6EE8">
        <w:rPr>
          <w:rFonts w:ascii="Arial" w:hAnsi="Arial"/>
          <w:lang w:val="en-US"/>
        </w:rPr>
        <w:t xml:space="preserve"> </w:t>
      </w:r>
    </w:p>
    <w:p w:rsidR="00582482" w:rsidRDefault="00582482" w:rsidP="00582482">
      <w:pPr>
        <w:pStyle w:val="Clause"/>
        <w:rPr>
          <w:rFonts w:ascii="Arial" w:hAnsi="Arial"/>
        </w:rPr>
      </w:pPr>
      <w:r>
        <w:rPr>
          <w:rFonts w:ascii="Arial" w:hAnsi="Arial"/>
        </w:rPr>
        <w:lastRenderedPageBreak/>
        <w:t xml:space="preserve">Link to supporting material </w:t>
      </w:r>
    </w:p>
    <w:p w:rsidR="00582482" w:rsidRPr="00F61C2E" w:rsidRDefault="00582482" w:rsidP="00582482">
      <w:pPr>
        <w:rPr>
          <w:rFonts w:ascii="Arial" w:hAnsi="Arial" w:cs="Arial"/>
        </w:rPr>
      </w:pPr>
      <w:r w:rsidRPr="00F61C2E">
        <w:rPr>
          <w:rFonts w:ascii="Arial" w:hAnsi="Arial" w:cs="Arial"/>
        </w:rPr>
        <w:t xml:space="preserve">AP209 Public and Private Information Portal: </w:t>
      </w:r>
      <w:hyperlink r:id="rId9" w:history="1">
        <w:r w:rsidR="00CC6D1A" w:rsidRPr="00191029">
          <w:rPr>
            <w:rStyle w:val="Lienhypertexte"/>
            <w:rFonts w:ascii="Arial" w:hAnsi="Arial" w:cs="Arial"/>
          </w:rPr>
          <w:t>www.ap209.org</w:t>
        </w:r>
      </w:hyperlink>
      <w:r w:rsidR="00CC6D1A">
        <w:rPr>
          <w:rFonts w:ascii="Arial" w:hAnsi="Arial" w:cs="Arial"/>
        </w:rPr>
        <w:t xml:space="preserve"> </w:t>
      </w:r>
    </w:p>
    <w:sectPr w:rsidR="00582482" w:rsidRPr="00F61C2E">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1B5" w:rsidRDefault="002A51B5">
      <w:r>
        <w:separator/>
      </w:r>
    </w:p>
  </w:endnote>
  <w:endnote w:type="continuationSeparator" w:id="0">
    <w:p w:rsidR="002A51B5" w:rsidRDefault="002A5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Serif">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1F9" w:rsidRDefault="002A51B5">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A02" w:rsidRPr="00697D45" w:rsidRDefault="005C0973" w:rsidP="00697D45">
    <w:pPr>
      <w:pStyle w:val="AIAHeader"/>
      <w:tabs>
        <w:tab w:val="left" w:pos="2268"/>
        <w:tab w:val="left" w:pos="3969"/>
        <w:tab w:val="left" w:pos="7371"/>
      </w:tabs>
      <w:rPr>
        <w:rFonts w:ascii="Arial" w:hAnsi="Arial"/>
        <w:b w:val="0"/>
        <w:sz w:val="20"/>
        <w:lang w:val="en-GB"/>
      </w:rPr>
    </w:pPr>
    <w:r>
      <w:rPr>
        <w:rFonts w:ascii="Arial" w:hAnsi="Arial"/>
        <w:b w:val="0"/>
        <w:sz w:val="20"/>
      </w:rPr>
      <w:t>STEP AP209 Ed2</w:t>
    </w:r>
    <w:r>
      <w:rPr>
        <w:rFonts w:ascii="Arial" w:hAnsi="Arial"/>
        <w:b w:val="0"/>
        <w:sz w:val="20"/>
      </w:rPr>
      <w:tab/>
      <w:t xml:space="preserve">Page </w:t>
    </w:r>
    <w:r>
      <w:rPr>
        <w:rStyle w:val="Numrodepage"/>
        <w:rFonts w:ascii="Arial" w:hAnsi="Arial"/>
        <w:b w:val="0"/>
        <w:sz w:val="20"/>
        <w:lang w:val="en-GB"/>
      </w:rPr>
      <w:fldChar w:fldCharType="begin"/>
    </w:r>
    <w:r>
      <w:rPr>
        <w:rStyle w:val="Numrodepage"/>
        <w:rFonts w:ascii="Arial" w:hAnsi="Arial"/>
        <w:b w:val="0"/>
        <w:sz w:val="20"/>
        <w:lang w:val="en-GB"/>
      </w:rPr>
      <w:instrText xml:space="preserve"> PAGE </w:instrText>
    </w:r>
    <w:r>
      <w:rPr>
        <w:rStyle w:val="Numrodepage"/>
        <w:rFonts w:ascii="Arial" w:hAnsi="Arial"/>
        <w:b w:val="0"/>
        <w:sz w:val="20"/>
        <w:lang w:val="en-GB"/>
      </w:rPr>
      <w:fldChar w:fldCharType="separate"/>
    </w:r>
    <w:r w:rsidR="00E918CC">
      <w:rPr>
        <w:rStyle w:val="Numrodepage"/>
        <w:rFonts w:ascii="Arial" w:hAnsi="Arial"/>
        <w:b w:val="0"/>
        <w:noProof/>
        <w:sz w:val="20"/>
        <w:lang w:val="en-GB"/>
      </w:rPr>
      <w:t>1</w:t>
    </w:r>
    <w:r>
      <w:rPr>
        <w:rStyle w:val="Numrodepage"/>
        <w:rFonts w:ascii="Arial" w:hAnsi="Arial"/>
        <w:b w:val="0"/>
        <w:sz w:val="20"/>
        <w:lang w:val="en-GB"/>
      </w:rPr>
      <w:fldChar w:fldCharType="end"/>
    </w:r>
    <w:r w:rsidR="00E918CC">
      <w:rPr>
        <w:rStyle w:val="Numrodepage"/>
        <w:rFonts w:ascii="Arial" w:hAnsi="Arial"/>
        <w:b w:val="0"/>
        <w:sz w:val="20"/>
        <w:lang w:val="en-GB"/>
      </w:rPr>
      <w:tab/>
      <w:t xml:space="preserve">Revision Date:  </w:t>
    </w:r>
    <w:r w:rsidR="00E918CC">
      <w:rPr>
        <w:rStyle w:val="Numrodepage"/>
        <w:rFonts w:ascii="Arial" w:hAnsi="Arial"/>
        <w:b w:val="0"/>
        <w:sz w:val="20"/>
        <w:lang w:val="en-GB"/>
      </w:rPr>
      <w:t>2015-02-10</w:t>
    </w:r>
    <w:bookmarkStart w:id="0" w:name="_GoBack"/>
    <w:bookmarkEnd w:id="0"/>
    <w:r>
      <w:rPr>
        <w:rFonts w:ascii="Arial" w:hAnsi="Arial" w:cs="Arial"/>
        <w:color w:val="0000FF"/>
        <w:sz w:val="16"/>
        <w:szCs w:val="16"/>
      </w:rPr>
      <w:tab/>
    </w:r>
    <w:r w:rsidR="00E918CC">
      <w:rPr>
        <w:rStyle w:val="Numrodepage"/>
        <w:rFonts w:ascii="Arial" w:hAnsi="Arial"/>
        <w:b w:val="0"/>
        <w:sz w:val="20"/>
        <w:lang w:val="en-GB"/>
      </w:rPr>
      <w:t>Copyright © 2015</w:t>
    </w:r>
    <w:r>
      <w:rPr>
        <w:rStyle w:val="Numrodepage"/>
        <w:rFonts w:ascii="Arial" w:hAnsi="Arial"/>
        <w:b w:val="0"/>
        <w:sz w:val="20"/>
        <w:lang w:val="en-GB"/>
      </w:rPr>
      <w:t xml:space="preserve"> ASD</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1F9" w:rsidRDefault="002A51B5">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1B5" w:rsidRDefault="002A51B5">
      <w:r>
        <w:separator/>
      </w:r>
    </w:p>
  </w:footnote>
  <w:footnote w:type="continuationSeparator" w:id="0">
    <w:p w:rsidR="002A51B5" w:rsidRDefault="002A51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1F9" w:rsidRDefault="002A51B5">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2A02" w:rsidRDefault="00582482">
    <w:pPr>
      <w:pStyle w:val="En-tte"/>
      <w:tabs>
        <w:tab w:val="clear" w:pos="8640"/>
        <w:tab w:val="right" w:pos="9540"/>
      </w:tabs>
      <w:rPr>
        <w:rFonts w:ascii="Arial" w:hAnsi="Arial"/>
        <w:b/>
      </w:rPr>
    </w:pPr>
    <w:r>
      <w:rPr>
        <w:noProof/>
      </w:rPr>
      <w:drawing>
        <wp:inline distT="0" distB="0" distL="0" distR="0">
          <wp:extent cx="4181475" cy="533400"/>
          <wp:effectExtent l="0" t="0" r="952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81475" cy="533400"/>
                  </a:xfrm>
                  <a:prstGeom prst="rect">
                    <a:avLst/>
                  </a:prstGeom>
                  <a:noFill/>
                </pic:spPr>
              </pic:pic>
            </a:graphicData>
          </a:graphic>
        </wp:inline>
      </w:drawing>
    </w:r>
    <w:r w:rsidR="005C0973">
      <w:tab/>
    </w:r>
    <w:r>
      <w:rPr>
        <w:noProof/>
      </w:rPr>
      <w:drawing>
        <wp:inline distT="0" distB="0" distL="0" distR="0">
          <wp:extent cx="1657350" cy="561975"/>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7350" cy="561975"/>
                  </a:xfrm>
                  <a:prstGeom prst="rect">
                    <a:avLst/>
                  </a:prstGeom>
                  <a:noFill/>
                </pic:spPr>
              </pic:pic>
            </a:graphicData>
          </a:graphic>
        </wp:inline>
      </w:drawing>
    </w:r>
  </w:p>
  <w:p w:rsidR="00712A02" w:rsidRDefault="005C0973">
    <w:pPr>
      <w:pStyle w:val="En-tte"/>
      <w:jc w:val="center"/>
      <w:rPr>
        <w:rFonts w:ascii="Arial" w:hAnsi="Arial"/>
      </w:rPr>
    </w:pPr>
    <w:r>
      <w:rPr>
        <w:rFonts w:ascii="Arial" w:hAnsi="Arial"/>
      </w:rPr>
      <w:t>Technology Radar Element Description</w:t>
    </w:r>
  </w:p>
  <w:p w:rsidR="00712A02" w:rsidRDefault="002A51B5">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1F9" w:rsidRDefault="002A51B5">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816613"/>
    <w:multiLevelType w:val="hybridMultilevel"/>
    <w:tmpl w:val="4412D24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nsid w:val="2A0C519D"/>
    <w:multiLevelType w:val="hybridMultilevel"/>
    <w:tmpl w:val="558066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22D12CB"/>
    <w:multiLevelType w:val="hybridMultilevel"/>
    <w:tmpl w:val="43A0C67E"/>
    <w:lvl w:ilvl="0" w:tplc="FFFFFFFF">
      <w:start w:val="1"/>
      <w:numFmt w:val="bullet"/>
      <w:lvlText w:val=""/>
      <w:lvlJc w:val="left"/>
      <w:pPr>
        <w:tabs>
          <w:tab w:val="num" w:pos="454"/>
        </w:tabs>
        <w:ind w:left="454" w:hanging="454"/>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4387539E"/>
    <w:multiLevelType w:val="hybridMultilevel"/>
    <w:tmpl w:val="B630BD38"/>
    <w:lvl w:ilvl="0" w:tplc="FFFFFFFF">
      <w:start w:val="1"/>
      <w:numFmt w:val="decimal"/>
      <w:lvlText w:val="%1."/>
      <w:lvlJc w:val="left"/>
      <w:pPr>
        <w:tabs>
          <w:tab w:val="num" w:pos="360"/>
        </w:tabs>
        <w:ind w:left="360" w:hanging="360"/>
      </w:pPr>
      <w:rPr>
        <w:rFonts w:hint="default"/>
      </w:rPr>
    </w:lvl>
    <w:lvl w:ilvl="1" w:tplc="FFFFFFFF">
      <w:start w:val="1"/>
      <w:numFmt w:val="decimal"/>
      <w:pStyle w:val="Numbered"/>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nsid w:val="5A3742C8"/>
    <w:multiLevelType w:val="hybridMultilevel"/>
    <w:tmpl w:val="24A66604"/>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nsid w:val="5F771315"/>
    <w:multiLevelType w:val="hybridMultilevel"/>
    <w:tmpl w:val="9AF05A6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79E171B1"/>
    <w:multiLevelType w:val="hybridMultilevel"/>
    <w:tmpl w:val="DF40473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1"/>
  </w:num>
  <w:num w:numId="4">
    <w:abstractNumId w:val="5"/>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482"/>
    <w:rsid w:val="00036F4E"/>
    <w:rsid w:val="002A51B5"/>
    <w:rsid w:val="0036104E"/>
    <w:rsid w:val="00550C1E"/>
    <w:rsid w:val="00582482"/>
    <w:rsid w:val="005C0973"/>
    <w:rsid w:val="00777FA2"/>
    <w:rsid w:val="00965047"/>
    <w:rsid w:val="009849A4"/>
    <w:rsid w:val="009C7A9C"/>
    <w:rsid w:val="00AE2C01"/>
    <w:rsid w:val="00CC6D1A"/>
    <w:rsid w:val="00D1590C"/>
    <w:rsid w:val="00DE558C"/>
    <w:rsid w:val="00E918CC"/>
    <w:rsid w:val="00F3151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482"/>
    <w:pPr>
      <w:spacing w:after="0" w:line="240" w:lineRule="auto"/>
    </w:pPr>
    <w:rPr>
      <w:rFonts w:ascii="Times New Roman" w:eastAsia="Times New Roman" w:hAnsi="Times New Roman" w:cs="Times New Roman"/>
      <w:sz w:val="24"/>
      <w:szCs w:val="24"/>
      <w:lang w:val="en-GB" w:eastAsia="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semiHidden/>
    <w:rsid w:val="00582482"/>
    <w:pPr>
      <w:jc w:val="both"/>
    </w:pPr>
    <w:rPr>
      <w:rFonts w:ascii="Arial" w:hAnsi="Arial"/>
      <w:lang w:val="en-US"/>
    </w:rPr>
  </w:style>
  <w:style w:type="character" w:customStyle="1" w:styleId="CorpsdetexteCar">
    <w:name w:val="Corps de texte Car"/>
    <w:basedOn w:val="Policepardfaut"/>
    <w:link w:val="Corpsdetexte"/>
    <w:semiHidden/>
    <w:rsid w:val="00582482"/>
    <w:rPr>
      <w:rFonts w:ascii="Arial" w:eastAsia="Times New Roman" w:hAnsi="Arial" w:cs="Times New Roman"/>
      <w:sz w:val="24"/>
      <w:szCs w:val="24"/>
      <w:lang w:val="en-US" w:eastAsia="en-GB"/>
    </w:rPr>
  </w:style>
  <w:style w:type="paragraph" w:customStyle="1" w:styleId="AIAHeader">
    <w:name w:val="AIAHeader"/>
    <w:basedOn w:val="Normal"/>
    <w:rsid w:val="00582482"/>
    <w:rPr>
      <w:b/>
      <w:bCs/>
      <w:sz w:val="28"/>
      <w:szCs w:val="28"/>
      <w:lang w:val="en-US"/>
    </w:rPr>
  </w:style>
  <w:style w:type="paragraph" w:customStyle="1" w:styleId="Clause">
    <w:name w:val="Clause"/>
    <w:basedOn w:val="Normal"/>
    <w:rsid w:val="00582482"/>
    <w:pPr>
      <w:keepNext/>
      <w:spacing w:before="240"/>
      <w:ind w:left="357" w:hanging="357"/>
    </w:pPr>
    <w:rPr>
      <w:b/>
      <w:bCs/>
      <w:lang w:val="en-US"/>
    </w:rPr>
  </w:style>
  <w:style w:type="paragraph" w:customStyle="1" w:styleId="Subclause">
    <w:name w:val="Subclause"/>
    <w:basedOn w:val="Normal"/>
    <w:rsid w:val="00582482"/>
    <w:pPr>
      <w:spacing w:before="120"/>
    </w:pPr>
    <w:rPr>
      <w:bCs/>
      <w:lang w:val="en-US"/>
    </w:rPr>
  </w:style>
  <w:style w:type="paragraph" w:customStyle="1" w:styleId="Bullet">
    <w:name w:val="Bullet"/>
    <w:basedOn w:val="Normal"/>
    <w:rsid w:val="00582482"/>
    <w:rPr>
      <w:lang w:val="en-US"/>
    </w:rPr>
  </w:style>
  <w:style w:type="paragraph" w:customStyle="1" w:styleId="Numbered">
    <w:name w:val="Numbered"/>
    <w:basedOn w:val="Normal"/>
    <w:rsid w:val="00582482"/>
    <w:pPr>
      <w:numPr>
        <w:ilvl w:val="1"/>
        <w:numId w:val="1"/>
      </w:numPr>
      <w:tabs>
        <w:tab w:val="left" w:pos="567"/>
      </w:tabs>
    </w:pPr>
    <w:rPr>
      <w:lang w:val="en-US"/>
    </w:rPr>
  </w:style>
  <w:style w:type="character" w:styleId="Lienhypertexte">
    <w:name w:val="Hyperlink"/>
    <w:rsid w:val="00582482"/>
    <w:rPr>
      <w:color w:val="0000FF"/>
      <w:u w:val="single"/>
    </w:rPr>
  </w:style>
  <w:style w:type="paragraph" w:styleId="En-tte">
    <w:name w:val="header"/>
    <w:basedOn w:val="Normal"/>
    <w:link w:val="En-tteCar"/>
    <w:semiHidden/>
    <w:rsid w:val="00582482"/>
    <w:pPr>
      <w:tabs>
        <w:tab w:val="center" w:pos="4320"/>
        <w:tab w:val="right" w:pos="8640"/>
      </w:tabs>
    </w:pPr>
  </w:style>
  <w:style w:type="character" w:customStyle="1" w:styleId="En-tteCar">
    <w:name w:val="En-tête Car"/>
    <w:basedOn w:val="Policepardfaut"/>
    <w:link w:val="En-tte"/>
    <w:semiHidden/>
    <w:rsid w:val="00582482"/>
    <w:rPr>
      <w:rFonts w:ascii="Times New Roman" w:eastAsia="Times New Roman" w:hAnsi="Times New Roman" w:cs="Times New Roman"/>
      <w:sz w:val="24"/>
      <w:szCs w:val="24"/>
      <w:lang w:val="en-GB" w:eastAsia="en-GB"/>
    </w:rPr>
  </w:style>
  <w:style w:type="paragraph" w:styleId="Pieddepage">
    <w:name w:val="footer"/>
    <w:basedOn w:val="Normal"/>
    <w:link w:val="PieddepageCar"/>
    <w:semiHidden/>
    <w:rsid w:val="00582482"/>
    <w:pPr>
      <w:tabs>
        <w:tab w:val="center" w:pos="4320"/>
        <w:tab w:val="right" w:pos="8640"/>
      </w:tabs>
    </w:pPr>
  </w:style>
  <w:style w:type="character" w:customStyle="1" w:styleId="PieddepageCar">
    <w:name w:val="Pied de page Car"/>
    <w:basedOn w:val="Policepardfaut"/>
    <w:link w:val="Pieddepage"/>
    <w:semiHidden/>
    <w:rsid w:val="00582482"/>
    <w:rPr>
      <w:rFonts w:ascii="Times New Roman" w:eastAsia="Times New Roman" w:hAnsi="Times New Roman" w:cs="Times New Roman"/>
      <w:sz w:val="24"/>
      <w:szCs w:val="24"/>
      <w:lang w:val="en-GB" w:eastAsia="en-GB"/>
    </w:rPr>
  </w:style>
  <w:style w:type="character" w:styleId="Numrodepage">
    <w:name w:val="page number"/>
    <w:basedOn w:val="Policepardfaut"/>
    <w:semiHidden/>
    <w:rsid w:val="00582482"/>
  </w:style>
  <w:style w:type="paragraph" w:styleId="Textedebulles">
    <w:name w:val="Balloon Text"/>
    <w:basedOn w:val="Normal"/>
    <w:link w:val="TextedebullesCar"/>
    <w:uiPriority w:val="99"/>
    <w:semiHidden/>
    <w:unhideWhenUsed/>
    <w:rsid w:val="00582482"/>
    <w:rPr>
      <w:rFonts w:ascii="Tahoma" w:hAnsi="Tahoma" w:cs="Tahoma"/>
      <w:sz w:val="16"/>
      <w:szCs w:val="16"/>
    </w:rPr>
  </w:style>
  <w:style w:type="character" w:customStyle="1" w:styleId="TextedebullesCar">
    <w:name w:val="Texte de bulles Car"/>
    <w:basedOn w:val="Policepardfaut"/>
    <w:link w:val="Textedebulles"/>
    <w:uiPriority w:val="99"/>
    <w:semiHidden/>
    <w:rsid w:val="00582482"/>
    <w:rPr>
      <w:rFonts w:ascii="Tahoma" w:eastAsia="Times New Roman" w:hAnsi="Tahoma" w:cs="Tahoma"/>
      <w:sz w:val="16"/>
      <w:szCs w:val="16"/>
      <w:lang w:val="en-GB" w:eastAsia="en-GB"/>
    </w:rPr>
  </w:style>
  <w:style w:type="character" w:styleId="Lienhypertextesuivivisit">
    <w:name w:val="FollowedHyperlink"/>
    <w:basedOn w:val="Policepardfaut"/>
    <w:uiPriority w:val="99"/>
    <w:semiHidden/>
    <w:unhideWhenUsed/>
    <w:rsid w:val="00AE2C0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482"/>
    <w:pPr>
      <w:spacing w:after="0" w:line="240" w:lineRule="auto"/>
    </w:pPr>
    <w:rPr>
      <w:rFonts w:ascii="Times New Roman" w:eastAsia="Times New Roman" w:hAnsi="Times New Roman" w:cs="Times New Roman"/>
      <w:sz w:val="24"/>
      <w:szCs w:val="24"/>
      <w:lang w:val="en-GB" w:eastAsia="en-G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link w:val="CorpsdetexteCar"/>
    <w:semiHidden/>
    <w:rsid w:val="00582482"/>
    <w:pPr>
      <w:jc w:val="both"/>
    </w:pPr>
    <w:rPr>
      <w:rFonts w:ascii="Arial" w:hAnsi="Arial"/>
      <w:lang w:val="en-US"/>
    </w:rPr>
  </w:style>
  <w:style w:type="character" w:customStyle="1" w:styleId="CorpsdetexteCar">
    <w:name w:val="Corps de texte Car"/>
    <w:basedOn w:val="Policepardfaut"/>
    <w:link w:val="Corpsdetexte"/>
    <w:semiHidden/>
    <w:rsid w:val="00582482"/>
    <w:rPr>
      <w:rFonts w:ascii="Arial" w:eastAsia="Times New Roman" w:hAnsi="Arial" w:cs="Times New Roman"/>
      <w:sz w:val="24"/>
      <w:szCs w:val="24"/>
      <w:lang w:val="en-US" w:eastAsia="en-GB"/>
    </w:rPr>
  </w:style>
  <w:style w:type="paragraph" w:customStyle="1" w:styleId="AIAHeader">
    <w:name w:val="AIAHeader"/>
    <w:basedOn w:val="Normal"/>
    <w:rsid w:val="00582482"/>
    <w:rPr>
      <w:b/>
      <w:bCs/>
      <w:sz w:val="28"/>
      <w:szCs w:val="28"/>
      <w:lang w:val="en-US"/>
    </w:rPr>
  </w:style>
  <w:style w:type="paragraph" w:customStyle="1" w:styleId="Clause">
    <w:name w:val="Clause"/>
    <w:basedOn w:val="Normal"/>
    <w:rsid w:val="00582482"/>
    <w:pPr>
      <w:keepNext/>
      <w:spacing w:before="240"/>
      <w:ind w:left="357" w:hanging="357"/>
    </w:pPr>
    <w:rPr>
      <w:b/>
      <w:bCs/>
      <w:lang w:val="en-US"/>
    </w:rPr>
  </w:style>
  <w:style w:type="paragraph" w:customStyle="1" w:styleId="Subclause">
    <w:name w:val="Subclause"/>
    <w:basedOn w:val="Normal"/>
    <w:rsid w:val="00582482"/>
    <w:pPr>
      <w:spacing w:before="120"/>
    </w:pPr>
    <w:rPr>
      <w:bCs/>
      <w:lang w:val="en-US"/>
    </w:rPr>
  </w:style>
  <w:style w:type="paragraph" w:customStyle="1" w:styleId="Bullet">
    <w:name w:val="Bullet"/>
    <w:basedOn w:val="Normal"/>
    <w:rsid w:val="00582482"/>
    <w:rPr>
      <w:lang w:val="en-US"/>
    </w:rPr>
  </w:style>
  <w:style w:type="paragraph" w:customStyle="1" w:styleId="Numbered">
    <w:name w:val="Numbered"/>
    <w:basedOn w:val="Normal"/>
    <w:rsid w:val="00582482"/>
    <w:pPr>
      <w:numPr>
        <w:ilvl w:val="1"/>
        <w:numId w:val="1"/>
      </w:numPr>
      <w:tabs>
        <w:tab w:val="left" w:pos="567"/>
      </w:tabs>
    </w:pPr>
    <w:rPr>
      <w:lang w:val="en-US"/>
    </w:rPr>
  </w:style>
  <w:style w:type="character" w:styleId="Lienhypertexte">
    <w:name w:val="Hyperlink"/>
    <w:rsid w:val="00582482"/>
    <w:rPr>
      <w:color w:val="0000FF"/>
      <w:u w:val="single"/>
    </w:rPr>
  </w:style>
  <w:style w:type="paragraph" w:styleId="En-tte">
    <w:name w:val="header"/>
    <w:basedOn w:val="Normal"/>
    <w:link w:val="En-tteCar"/>
    <w:semiHidden/>
    <w:rsid w:val="00582482"/>
    <w:pPr>
      <w:tabs>
        <w:tab w:val="center" w:pos="4320"/>
        <w:tab w:val="right" w:pos="8640"/>
      </w:tabs>
    </w:pPr>
  </w:style>
  <w:style w:type="character" w:customStyle="1" w:styleId="En-tteCar">
    <w:name w:val="En-tête Car"/>
    <w:basedOn w:val="Policepardfaut"/>
    <w:link w:val="En-tte"/>
    <w:semiHidden/>
    <w:rsid w:val="00582482"/>
    <w:rPr>
      <w:rFonts w:ascii="Times New Roman" w:eastAsia="Times New Roman" w:hAnsi="Times New Roman" w:cs="Times New Roman"/>
      <w:sz w:val="24"/>
      <w:szCs w:val="24"/>
      <w:lang w:val="en-GB" w:eastAsia="en-GB"/>
    </w:rPr>
  </w:style>
  <w:style w:type="paragraph" w:styleId="Pieddepage">
    <w:name w:val="footer"/>
    <w:basedOn w:val="Normal"/>
    <w:link w:val="PieddepageCar"/>
    <w:semiHidden/>
    <w:rsid w:val="00582482"/>
    <w:pPr>
      <w:tabs>
        <w:tab w:val="center" w:pos="4320"/>
        <w:tab w:val="right" w:pos="8640"/>
      </w:tabs>
    </w:pPr>
  </w:style>
  <w:style w:type="character" w:customStyle="1" w:styleId="PieddepageCar">
    <w:name w:val="Pied de page Car"/>
    <w:basedOn w:val="Policepardfaut"/>
    <w:link w:val="Pieddepage"/>
    <w:semiHidden/>
    <w:rsid w:val="00582482"/>
    <w:rPr>
      <w:rFonts w:ascii="Times New Roman" w:eastAsia="Times New Roman" w:hAnsi="Times New Roman" w:cs="Times New Roman"/>
      <w:sz w:val="24"/>
      <w:szCs w:val="24"/>
      <w:lang w:val="en-GB" w:eastAsia="en-GB"/>
    </w:rPr>
  </w:style>
  <w:style w:type="character" w:styleId="Numrodepage">
    <w:name w:val="page number"/>
    <w:basedOn w:val="Policepardfaut"/>
    <w:semiHidden/>
    <w:rsid w:val="00582482"/>
  </w:style>
  <w:style w:type="paragraph" w:styleId="Textedebulles">
    <w:name w:val="Balloon Text"/>
    <w:basedOn w:val="Normal"/>
    <w:link w:val="TextedebullesCar"/>
    <w:uiPriority w:val="99"/>
    <w:semiHidden/>
    <w:unhideWhenUsed/>
    <w:rsid w:val="00582482"/>
    <w:rPr>
      <w:rFonts w:ascii="Tahoma" w:hAnsi="Tahoma" w:cs="Tahoma"/>
      <w:sz w:val="16"/>
      <w:szCs w:val="16"/>
    </w:rPr>
  </w:style>
  <w:style w:type="character" w:customStyle="1" w:styleId="TextedebullesCar">
    <w:name w:val="Texte de bulles Car"/>
    <w:basedOn w:val="Policepardfaut"/>
    <w:link w:val="Textedebulles"/>
    <w:uiPriority w:val="99"/>
    <w:semiHidden/>
    <w:rsid w:val="00582482"/>
    <w:rPr>
      <w:rFonts w:ascii="Tahoma" w:eastAsia="Times New Roman" w:hAnsi="Tahoma" w:cs="Tahoma"/>
      <w:sz w:val="16"/>
      <w:szCs w:val="16"/>
      <w:lang w:val="en-GB" w:eastAsia="en-GB"/>
    </w:rPr>
  </w:style>
  <w:style w:type="character" w:styleId="Lienhypertextesuivivisit">
    <w:name w:val="FollowedHyperlink"/>
    <w:basedOn w:val="Policepardfaut"/>
    <w:uiPriority w:val="99"/>
    <w:semiHidden/>
    <w:unhideWhenUsed/>
    <w:rsid w:val="00AE2C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c184-sc4.org"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p209.org"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884</Words>
  <Characters>5040</Characters>
  <Application>Microsoft Office Word</Application>
  <DocSecurity>0</DocSecurity>
  <Lines>42</Lines>
  <Paragraphs>11</Paragraphs>
  <ScaleCrop>false</ScaleCrop>
  <HeadingPairs>
    <vt:vector size="2" baseType="variant">
      <vt:variant>
        <vt:lpstr>Titre</vt:lpstr>
      </vt:variant>
      <vt:variant>
        <vt:i4>1</vt:i4>
      </vt:variant>
    </vt:vector>
  </HeadingPairs>
  <TitlesOfParts>
    <vt:vector size="1" baseType="lpstr">
      <vt:lpstr/>
    </vt:vector>
  </TitlesOfParts>
  <Company>EADS France</Company>
  <LinksUpToDate>false</LinksUpToDate>
  <CharactersWithSpaces>5913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Yves</dc:creator>
  <cp:lastModifiedBy>Baudier, Yves</cp:lastModifiedBy>
  <cp:revision>6</cp:revision>
  <dcterms:created xsi:type="dcterms:W3CDTF">2014-10-22T12:33:00Z</dcterms:created>
  <dcterms:modified xsi:type="dcterms:W3CDTF">2015-02-10T17:14:00Z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-56624912</vt:i4>
  </property>
  <property fmtid="{D5CDD505-2E9C-101B-9397-08002B2CF9AE}" pid="3" name="_NewReviewCycle">
    <vt:lpwstr/>
  </property>
  <property fmtid="{D5CDD505-2E9C-101B-9397-08002B2CF9AE}" pid="4" name="_EmailSubject">
    <vt:lpwstr>Mise à jour blip AP209</vt:lpwstr>
  </property>
  <property fmtid="{D5CDD505-2E9C-101B-9397-08002B2CF9AE}" pid="5" name="_AuthorEmail">
    <vt:lpwstr>albert.a.levy@airbus.com</vt:lpwstr>
  </property>
  <property fmtid="{D5CDD505-2E9C-101B-9397-08002B2CF9AE}" pid="6" name="_AuthorEmailDisplayName">
    <vt:lpwstr>LEVY, Albert (CIMPA SAS)</vt:lpwstr>
  </property>
  <property fmtid="{D5CDD505-2E9C-101B-9397-08002B2CF9AE}" pid="7" name="_ReviewingToolsShownOnce">
    <vt:lpwstr/>
  </property>
</Properties>
</file>