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55D70" w:rsidRPr="00782475" w:rsidRDefault="00555D70" w:rsidP="00555D70">
      <w:pPr>
        <w:pStyle w:val="AIAHeader"/>
        <w:rPr>
          <w:rFonts w:ascii="Arial" w:hAnsi="Arial"/>
          <w:lang w:val="en-GB"/>
        </w:rPr>
      </w:pPr>
      <w:r w:rsidRPr="00782475">
        <w:rPr>
          <w:rFonts w:ascii="Arial" w:hAnsi="Arial"/>
          <w:lang w:val="en-GB"/>
        </w:rPr>
        <w:t>Standard for the Exchange of Product model data (STEP - ISO 10303)</w:t>
      </w:r>
    </w:p>
    <w:p w:rsidR="00555D70" w:rsidRPr="00782475" w:rsidRDefault="00555D70" w:rsidP="00555D70">
      <w:pPr>
        <w:pStyle w:val="AIAHeader"/>
        <w:rPr>
          <w:rFonts w:ascii="Arial" w:hAnsi="Arial"/>
          <w:lang w:val="en-GB"/>
        </w:rPr>
      </w:pPr>
      <w:r w:rsidRPr="00782475">
        <w:rPr>
          <w:rFonts w:ascii="Arial" w:hAnsi="Arial"/>
          <w:lang w:val="en-GB"/>
        </w:rPr>
        <w:t>Application Protocol 239 - Product Life Cycle Support (PLCS)</w:t>
      </w:r>
      <w:r w:rsidR="00782475" w:rsidRPr="00782475">
        <w:rPr>
          <w:rFonts w:ascii="Arial" w:hAnsi="Arial"/>
          <w:lang w:val="en-GB"/>
        </w:rPr>
        <w:t xml:space="preserve"> Edition 2</w:t>
      </w:r>
    </w:p>
    <w:p w:rsidR="00555D70" w:rsidRPr="00782475" w:rsidRDefault="00555D70" w:rsidP="00555D70">
      <w:pPr>
        <w:pStyle w:val="Clause"/>
        <w:rPr>
          <w:rFonts w:ascii="Arial" w:hAnsi="Arial" w:cs="Arial"/>
          <w:lang w:val="en-GB"/>
        </w:rPr>
      </w:pPr>
      <w:r w:rsidRPr="00782475">
        <w:rPr>
          <w:rFonts w:ascii="Arial" w:hAnsi="Arial" w:cs="Arial"/>
          <w:lang w:val="en-GB"/>
        </w:rPr>
        <w:t>Abstract</w:t>
      </w:r>
    </w:p>
    <w:p w:rsidR="00555D70" w:rsidRPr="00782475" w:rsidRDefault="00555D70" w:rsidP="00782475">
      <w:pPr>
        <w:jc w:val="both"/>
        <w:rPr>
          <w:rFonts w:ascii="Arial" w:hAnsi="Arial"/>
        </w:rPr>
      </w:pPr>
      <w:r w:rsidRPr="00782475">
        <w:rPr>
          <w:rFonts w:ascii="Arial" w:hAnsi="Arial"/>
        </w:rPr>
        <w:t>PLCS provides an internationally-agreed information model to address the problem of keeping the full set of information related to a product in alignment with that product throughout its lifecycle.  The required information includes product data management, task descriptions, operating states, planned and unplanned maintenance and complete historical records</w:t>
      </w:r>
    </w:p>
    <w:p w:rsidR="00555D70" w:rsidRPr="00782475" w:rsidRDefault="00555D70" w:rsidP="00782475">
      <w:pPr>
        <w:jc w:val="both"/>
        <w:rPr>
          <w:rFonts w:ascii="Arial" w:hAnsi="Arial"/>
        </w:rPr>
      </w:pPr>
      <w:r w:rsidRPr="00782475">
        <w:rPr>
          <w:rFonts w:ascii="Arial" w:hAnsi="Arial"/>
        </w:rPr>
        <w:t xml:space="preserve">Deployment of the PLCS standard will enable companies to have a single definition for all the product-related information related to individual products throughout their lifecycle, independent of changes in process and information technology.  The standard will enable suppliers to deliver and receive support information in a consistent form, irrespective of the source.  Interoperability will be facilitated by the adoption of common subsets of the standard, known as Data Exchange Sets (DEXs) to support particular logistics information flows, and the use of common reference data libraries to configure the standard for operational use.  </w:t>
      </w:r>
    </w:p>
    <w:p w:rsidR="00555D70" w:rsidRPr="00782475" w:rsidRDefault="00555D70" w:rsidP="00555D70">
      <w:pPr>
        <w:rPr>
          <w:rFonts w:ascii="Arial" w:hAnsi="Arial"/>
        </w:rPr>
      </w:pPr>
    </w:p>
    <w:p w:rsidR="00555D70" w:rsidRPr="00782475" w:rsidRDefault="00555D70" w:rsidP="00782475">
      <w:pPr>
        <w:jc w:val="both"/>
        <w:rPr>
          <w:rFonts w:ascii="Arial" w:hAnsi="Arial"/>
        </w:rPr>
      </w:pPr>
      <w:r w:rsidRPr="00782475">
        <w:rPr>
          <w:rFonts w:ascii="Arial" w:hAnsi="Arial"/>
        </w:rPr>
        <w:t>Example scenarios</w:t>
      </w:r>
    </w:p>
    <w:p w:rsidR="00555D70" w:rsidRPr="00782475" w:rsidRDefault="00555D70" w:rsidP="00782475">
      <w:pPr>
        <w:numPr>
          <w:ilvl w:val="0"/>
          <w:numId w:val="7"/>
        </w:numPr>
        <w:jc w:val="both"/>
        <w:rPr>
          <w:rFonts w:ascii="Arial" w:hAnsi="Arial"/>
        </w:rPr>
      </w:pPr>
      <w:r w:rsidRPr="00782475">
        <w:rPr>
          <w:rFonts w:ascii="Arial" w:hAnsi="Arial"/>
        </w:rPr>
        <w:t xml:space="preserve">Feedback of maintenance and performance information from an individual asset in a standard form to multiple receiving systems. </w:t>
      </w:r>
    </w:p>
    <w:p w:rsidR="00555D70" w:rsidRPr="00782475" w:rsidRDefault="00555D70" w:rsidP="00782475">
      <w:pPr>
        <w:numPr>
          <w:ilvl w:val="0"/>
          <w:numId w:val="7"/>
        </w:numPr>
        <w:jc w:val="both"/>
        <w:rPr>
          <w:rFonts w:ascii="Arial" w:hAnsi="Arial"/>
        </w:rPr>
      </w:pPr>
      <w:r w:rsidRPr="00782475">
        <w:rPr>
          <w:rFonts w:ascii="Arial" w:hAnsi="Arial"/>
        </w:rPr>
        <w:t>Configuration management of individual assets.</w:t>
      </w:r>
    </w:p>
    <w:p w:rsidR="00555D70" w:rsidRPr="00782475" w:rsidRDefault="00555D70" w:rsidP="00782475">
      <w:pPr>
        <w:numPr>
          <w:ilvl w:val="0"/>
          <w:numId w:val="7"/>
        </w:numPr>
        <w:jc w:val="both"/>
        <w:rPr>
          <w:rFonts w:ascii="Arial" w:hAnsi="Arial"/>
        </w:rPr>
      </w:pPr>
      <w:r w:rsidRPr="00782475">
        <w:rPr>
          <w:rFonts w:ascii="Arial" w:hAnsi="Arial"/>
        </w:rPr>
        <w:t>Integration of product modification program, scheduled and condition-based maintenance into a coherent work package, with resource allocation</w:t>
      </w:r>
    </w:p>
    <w:p w:rsidR="00555D70" w:rsidRPr="00782475" w:rsidRDefault="00555D70" w:rsidP="00782475">
      <w:pPr>
        <w:numPr>
          <w:ilvl w:val="0"/>
          <w:numId w:val="7"/>
        </w:numPr>
        <w:jc w:val="both"/>
        <w:rPr>
          <w:rFonts w:ascii="Arial" w:hAnsi="Arial"/>
        </w:rPr>
      </w:pPr>
      <w:r w:rsidRPr="00782475">
        <w:rPr>
          <w:rFonts w:ascii="Arial" w:hAnsi="Arial"/>
        </w:rPr>
        <w:t>Maintenance planning for different operational environments</w:t>
      </w:r>
    </w:p>
    <w:p w:rsidR="00555D70" w:rsidRPr="00782475" w:rsidRDefault="00555D70" w:rsidP="00555D70">
      <w:pPr>
        <w:pStyle w:val="Clause"/>
        <w:rPr>
          <w:rFonts w:ascii="Arial" w:hAnsi="Arial" w:cs="Arial"/>
          <w:lang w:val="en-GB"/>
        </w:rPr>
      </w:pPr>
      <w:r w:rsidRPr="00782475">
        <w:rPr>
          <w:rFonts w:ascii="Arial" w:hAnsi="Arial" w:cs="Arial"/>
          <w:lang w:val="en-GB"/>
        </w:rPr>
        <w:t>Responsible organization</w:t>
      </w:r>
    </w:p>
    <w:p w:rsidR="00555D70" w:rsidRPr="00782475" w:rsidRDefault="00555D70" w:rsidP="00782475">
      <w:pPr>
        <w:jc w:val="both"/>
        <w:rPr>
          <w:rFonts w:ascii="Arial" w:hAnsi="Arial"/>
        </w:rPr>
      </w:pPr>
      <w:r w:rsidRPr="00782475">
        <w:rPr>
          <w:rFonts w:ascii="Arial" w:hAnsi="Arial"/>
        </w:rPr>
        <w:t>ISO TC 184/SC 4 for base standard</w:t>
      </w:r>
    </w:p>
    <w:p w:rsidR="00555D70" w:rsidRPr="00782475" w:rsidRDefault="00555D70" w:rsidP="00782475">
      <w:pPr>
        <w:jc w:val="both"/>
        <w:rPr>
          <w:rFonts w:ascii="Arial" w:hAnsi="Arial"/>
        </w:rPr>
      </w:pPr>
      <w:r w:rsidRPr="00782475">
        <w:rPr>
          <w:rFonts w:ascii="Arial" w:hAnsi="Arial"/>
        </w:rPr>
        <w:t>OASIS PLCS TC for development of data exchange sets - subsets to support specific business functions (Co-chaired by BAE Systems and DISA)</w:t>
      </w:r>
    </w:p>
    <w:p w:rsidR="00555D70" w:rsidRPr="00782475" w:rsidRDefault="00555D70" w:rsidP="00555D70">
      <w:pPr>
        <w:pStyle w:val="Clause"/>
        <w:rPr>
          <w:rFonts w:ascii="Arial" w:hAnsi="Arial" w:cs="Arial"/>
          <w:lang w:val="en-GB"/>
        </w:rPr>
      </w:pPr>
      <w:r w:rsidRPr="00782475">
        <w:rPr>
          <w:rFonts w:ascii="Arial" w:hAnsi="Arial" w:cs="Arial"/>
          <w:lang w:val="en-GB"/>
        </w:rPr>
        <w:t xml:space="preserve">Lead Organization within ASD </w:t>
      </w:r>
    </w:p>
    <w:p w:rsidR="00555D70" w:rsidRPr="00782475" w:rsidRDefault="00555D70" w:rsidP="00555D70">
      <w:pPr>
        <w:rPr>
          <w:rFonts w:ascii="Arial" w:hAnsi="Arial" w:cs="Arial"/>
        </w:rPr>
      </w:pPr>
      <w:r w:rsidRPr="00782475">
        <w:rPr>
          <w:rFonts w:ascii="Arial" w:hAnsi="Arial" w:cs="Arial"/>
        </w:rPr>
        <w:t>ASD Strategic Standardization Group - contact:   Jean-Yves Delaunay:</w:t>
      </w:r>
    </w:p>
    <w:p w:rsidR="00555D70" w:rsidRPr="00782475" w:rsidRDefault="00555D70" w:rsidP="00555D70">
      <w:pPr>
        <w:rPr>
          <w:rFonts w:ascii="Arial" w:hAnsi="Arial" w:cs="Arial"/>
        </w:rPr>
      </w:pPr>
      <w:r w:rsidRPr="00782475">
        <w:rPr>
          <w:rFonts w:ascii="Arial" w:hAnsi="Arial" w:cs="Arial"/>
        </w:rPr>
        <w:t>ASD Customer and Product Support Committee (for Logistics specs using PLCS)</w:t>
      </w:r>
    </w:p>
    <w:p w:rsidR="00555D70" w:rsidRPr="00782475" w:rsidRDefault="00555D70" w:rsidP="00555D70">
      <w:pPr>
        <w:pStyle w:val="Clause"/>
        <w:rPr>
          <w:rFonts w:ascii="Arial" w:hAnsi="Arial" w:cs="Arial"/>
          <w:lang w:val="en-GB"/>
        </w:rPr>
      </w:pPr>
      <w:r w:rsidRPr="00782475">
        <w:rPr>
          <w:rFonts w:ascii="Arial" w:hAnsi="Arial" w:cs="Arial"/>
          <w:lang w:val="en-GB"/>
        </w:rPr>
        <w:t>Other stakeholders – by function/organization</w:t>
      </w:r>
    </w:p>
    <w:p w:rsidR="00555D70" w:rsidRPr="00782475" w:rsidRDefault="00555D70" w:rsidP="00555D70">
      <w:pPr>
        <w:rPr>
          <w:rFonts w:ascii="Arial" w:hAnsi="Arial"/>
        </w:rPr>
      </w:pPr>
      <w:r w:rsidRPr="00782475">
        <w:rPr>
          <w:rFonts w:ascii="Arial" w:hAnsi="Arial"/>
        </w:rPr>
        <w:t xml:space="preserve">ASD </w:t>
      </w:r>
      <w:r w:rsidRPr="00782475">
        <w:rPr>
          <w:rFonts w:ascii="Arial" w:hAnsi="Arial"/>
        </w:rPr>
        <w:tab/>
        <w:t>Customer and Product Support Committee (CPSC)</w:t>
      </w:r>
    </w:p>
    <w:p w:rsidR="00555D70" w:rsidRPr="00782475" w:rsidRDefault="00555D70" w:rsidP="00555D70">
      <w:pPr>
        <w:rPr>
          <w:rFonts w:ascii="Arial" w:hAnsi="Arial"/>
        </w:rPr>
      </w:pPr>
      <w:r w:rsidRPr="00782475">
        <w:rPr>
          <w:rFonts w:ascii="Arial" w:hAnsi="Arial"/>
        </w:rPr>
        <w:t>AIA</w:t>
      </w:r>
      <w:r w:rsidRPr="00782475">
        <w:rPr>
          <w:rFonts w:ascii="Arial" w:hAnsi="Arial"/>
        </w:rPr>
        <w:tab/>
        <w:t>Product Support Committee</w:t>
      </w:r>
    </w:p>
    <w:p w:rsidR="00555D70" w:rsidRPr="00782475" w:rsidRDefault="00555D70" w:rsidP="00555D70">
      <w:pPr>
        <w:rPr>
          <w:rFonts w:ascii="Arial" w:hAnsi="Arial"/>
        </w:rPr>
      </w:pPr>
      <w:r w:rsidRPr="00782475">
        <w:rPr>
          <w:rFonts w:ascii="Arial" w:hAnsi="Arial"/>
        </w:rPr>
        <w:t>AIA</w:t>
      </w:r>
      <w:r w:rsidRPr="00782475">
        <w:rPr>
          <w:rFonts w:ascii="Arial" w:hAnsi="Arial"/>
        </w:rPr>
        <w:tab/>
        <w:t>Engineering Management Committee - Engineering Data Interoperability and LOTAR project (joint with ASD)</w:t>
      </w:r>
    </w:p>
    <w:p w:rsidR="00555D70" w:rsidRPr="00782475" w:rsidRDefault="00555D70" w:rsidP="00555D70">
      <w:pPr>
        <w:pStyle w:val="Clause"/>
        <w:rPr>
          <w:rFonts w:ascii="Arial" w:hAnsi="Arial" w:cs="Arial"/>
          <w:lang w:val="en-GB"/>
        </w:rPr>
      </w:pPr>
      <w:r w:rsidRPr="00782475">
        <w:rPr>
          <w:rFonts w:ascii="Arial" w:hAnsi="Arial" w:cs="Arial"/>
          <w:lang w:val="en-GB"/>
        </w:rPr>
        <w:t>Business Justification</w:t>
      </w:r>
    </w:p>
    <w:p w:rsidR="00555D70" w:rsidRPr="00782475" w:rsidRDefault="00555D70" w:rsidP="00782475">
      <w:pPr>
        <w:jc w:val="both"/>
        <w:rPr>
          <w:rFonts w:ascii="Arial" w:hAnsi="Arial"/>
        </w:rPr>
      </w:pPr>
      <w:r w:rsidRPr="00782475">
        <w:rPr>
          <w:rFonts w:ascii="Arial" w:hAnsi="Arial"/>
        </w:rPr>
        <w:t xml:space="preserve">The standard was developed by a number of prime contractors in the US and Europe in cooperation with the DoD and other customers, and represents an investment of over $10M.  It is now being actively deployed as a common data backbone for the logistics environment in the US and elsewhere.  Initial deployments include the Norwegian frigate program, the joint UK MOD/industry Logistics Coherence program, the ELITE program on DA 2410 forms for Blackhawk helicopters and the DLA Single Point of Entry project.  </w:t>
      </w:r>
    </w:p>
    <w:p w:rsidR="00555D70" w:rsidRPr="00782475" w:rsidRDefault="00555D70" w:rsidP="00782475">
      <w:pPr>
        <w:jc w:val="both"/>
        <w:rPr>
          <w:rFonts w:ascii="Arial" w:hAnsi="Arial"/>
        </w:rPr>
      </w:pPr>
      <w:r w:rsidRPr="00782475">
        <w:rPr>
          <w:rFonts w:ascii="Arial" w:hAnsi="Arial"/>
        </w:rPr>
        <w:t>From the customer viewpoint, DoD is seeking to mandate PLCS as the standard for delivery of product information through the DLA SPOE and other gateways such as WAWF.   The DoD UID office see PLCS as offering a mechanism for using standard maintenance transactions to also provide the information required to maintain the currency of their UID registry. The US Army has selected a PLCS-based product to provide an integrated view of product configuration data across the design and support environment and has now started to specify PLCS in CDRLs for new contracts.  PLCS has been demonstrated as being capable of accommodating the information requirements of UK DEF-STAN-00-60, ASD S1000D, MIL-STD-1388-2B and many other legacy standards, as well as a wide range of legacy logistics applications.</w:t>
      </w:r>
    </w:p>
    <w:p w:rsidR="00555D70" w:rsidRPr="00782475" w:rsidRDefault="00555D70" w:rsidP="00555D70">
      <w:pPr>
        <w:pStyle w:val="Clause"/>
        <w:rPr>
          <w:rFonts w:ascii="Arial" w:hAnsi="Arial" w:cs="Arial"/>
          <w:lang w:val="en-GB"/>
        </w:rPr>
      </w:pPr>
      <w:r w:rsidRPr="00782475">
        <w:rPr>
          <w:rFonts w:ascii="Arial" w:hAnsi="Arial" w:cs="Arial"/>
          <w:lang w:val="en-GB"/>
        </w:rPr>
        <w:t xml:space="preserve">Description of activity/deliverables  </w:t>
      </w:r>
    </w:p>
    <w:p w:rsidR="00555D70" w:rsidRPr="00782475" w:rsidRDefault="00555D70" w:rsidP="00782475">
      <w:pPr>
        <w:pStyle w:val="Subclause"/>
        <w:jc w:val="both"/>
        <w:rPr>
          <w:rFonts w:ascii="Arial" w:hAnsi="Arial"/>
          <w:lang w:val="en-GB"/>
        </w:rPr>
      </w:pPr>
      <w:r w:rsidRPr="00782475">
        <w:rPr>
          <w:rFonts w:ascii="Arial" w:hAnsi="Arial"/>
          <w:lang w:val="en-GB"/>
        </w:rPr>
        <w:t>Activities</w:t>
      </w:r>
    </w:p>
    <w:p w:rsidR="00555D70" w:rsidRPr="00782475" w:rsidRDefault="00555D70" w:rsidP="00782475">
      <w:pPr>
        <w:pStyle w:val="Bullet"/>
        <w:numPr>
          <w:ilvl w:val="0"/>
          <w:numId w:val="8"/>
        </w:numPr>
        <w:jc w:val="both"/>
        <w:rPr>
          <w:rFonts w:ascii="Arial" w:hAnsi="Arial"/>
          <w:lang w:val="en-GB"/>
        </w:rPr>
      </w:pPr>
      <w:r w:rsidRPr="00782475">
        <w:rPr>
          <w:rFonts w:ascii="Arial" w:hAnsi="Arial"/>
          <w:lang w:val="en-GB"/>
        </w:rPr>
        <w:t>Published standard is maintained by ISO</w:t>
      </w:r>
    </w:p>
    <w:p w:rsidR="00555D70" w:rsidRPr="00782475" w:rsidRDefault="00555D70" w:rsidP="00782475">
      <w:pPr>
        <w:pStyle w:val="Bullet"/>
        <w:numPr>
          <w:ilvl w:val="0"/>
          <w:numId w:val="8"/>
        </w:numPr>
        <w:jc w:val="both"/>
        <w:rPr>
          <w:rFonts w:ascii="Arial" w:hAnsi="Arial"/>
          <w:lang w:val="en-GB"/>
        </w:rPr>
      </w:pPr>
      <w:r w:rsidRPr="00782475">
        <w:rPr>
          <w:rFonts w:ascii="Arial" w:hAnsi="Arial"/>
          <w:lang w:val="en-GB"/>
        </w:rPr>
        <w:t>Data exchange sets and reference data for implementation are developed under OASIS - standardization requirements are submitted to ISO</w:t>
      </w:r>
    </w:p>
    <w:p w:rsidR="00555D70" w:rsidRPr="00782475" w:rsidRDefault="00555D70" w:rsidP="00782475">
      <w:pPr>
        <w:pStyle w:val="Subclause"/>
        <w:jc w:val="both"/>
        <w:rPr>
          <w:rFonts w:ascii="Arial" w:hAnsi="Arial"/>
          <w:lang w:val="en-GB"/>
        </w:rPr>
      </w:pPr>
      <w:r w:rsidRPr="00782475">
        <w:rPr>
          <w:rFonts w:ascii="Arial" w:hAnsi="Arial"/>
          <w:lang w:val="en-GB"/>
        </w:rPr>
        <w:t xml:space="preserve">Deliverables </w:t>
      </w:r>
    </w:p>
    <w:p w:rsidR="00555D70" w:rsidRPr="00782475" w:rsidRDefault="00555D70" w:rsidP="00782475">
      <w:pPr>
        <w:pStyle w:val="Bullet"/>
        <w:numPr>
          <w:ilvl w:val="0"/>
          <w:numId w:val="9"/>
        </w:numPr>
        <w:jc w:val="both"/>
        <w:rPr>
          <w:rFonts w:ascii="Arial" w:hAnsi="Arial"/>
          <w:lang w:val="en-GB"/>
        </w:rPr>
      </w:pPr>
      <w:r w:rsidRPr="00782475">
        <w:rPr>
          <w:rFonts w:ascii="Arial" w:hAnsi="Arial"/>
          <w:lang w:val="en-GB"/>
        </w:rPr>
        <w:t>ISO 10303-239 published in October 2005</w:t>
      </w:r>
    </w:p>
    <w:p w:rsidR="00555D70" w:rsidRPr="00782475" w:rsidRDefault="00555D70" w:rsidP="00782475">
      <w:pPr>
        <w:pStyle w:val="Bullet"/>
        <w:numPr>
          <w:ilvl w:val="0"/>
          <w:numId w:val="9"/>
        </w:numPr>
        <w:jc w:val="both"/>
        <w:rPr>
          <w:rFonts w:ascii="Arial" w:hAnsi="Arial"/>
          <w:lang w:val="en-GB"/>
        </w:rPr>
      </w:pPr>
      <w:r w:rsidRPr="00782475">
        <w:rPr>
          <w:rFonts w:ascii="Arial" w:hAnsi="Arial"/>
          <w:lang w:val="en-GB"/>
        </w:rPr>
        <w:t>First two OASIS DEXes approved for ballot March 2008</w:t>
      </w:r>
    </w:p>
    <w:p w:rsidR="00555D70" w:rsidRPr="00782475" w:rsidRDefault="00555D70" w:rsidP="00782475">
      <w:pPr>
        <w:pStyle w:val="Bullet"/>
        <w:numPr>
          <w:ilvl w:val="0"/>
          <w:numId w:val="9"/>
        </w:numPr>
        <w:jc w:val="both"/>
        <w:rPr>
          <w:rFonts w:ascii="Arial" w:hAnsi="Arial"/>
          <w:lang w:val="en-GB"/>
        </w:rPr>
      </w:pPr>
      <w:r w:rsidRPr="00782475">
        <w:rPr>
          <w:rFonts w:ascii="Arial" w:hAnsi="Arial"/>
          <w:lang w:val="en-GB"/>
        </w:rPr>
        <w:t>PLCS DEXes corresponding to EIA-836 and EIA-STD-0007 to supersede those standards</w:t>
      </w:r>
    </w:p>
    <w:p w:rsidR="00555D70" w:rsidRPr="00782475" w:rsidRDefault="00555D70" w:rsidP="00782475">
      <w:pPr>
        <w:pStyle w:val="Subclause"/>
        <w:jc w:val="both"/>
        <w:rPr>
          <w:rFonts w:ascii="Arial" w:hAnsi="Arial"/>
          <w:lang w:val="en-GB"/>
        </w:rPr>
      </w:pPr>
      <w:r w:rsidRPr="00782475">
        <w:rPr>
          <w:rFonts w:ascii="Arial" w:hAnsi="Arial"/>
          <w:lang w:val="en-GB"/>
        </w:rPr>
        <w:t>Assumptions</w:t>
      </w:r>
    </w:p>
    <w:p w:rsidR="00555D70" w:rsidRPr="00782475" w:rsidRDefault="00782475" w:rsidP="00782475">
      <w:pPr>
        <w:pStyle w:val="Bullet"/>
        <w:numPr>
          <w:ilvl w:val="0"/>
          <w:numId w:val="10"/>
        </w:numPr>
        <w:jc w:val="both"/>
        <w:rPr>
          <w:rFonts w:ascii="Arial" w:hAnsi="Arial"/>
          <w:lang w:val="en-GB"/>
        </w:rPr>
      </w:pPr>
      <w:r w:rsidRPr="00782475">
        <w:rPr>
          <w:rFonts w:ascii="Arial" w:hAnsi="Arial"/>
          <w:lang w:val="en-GB"/>
        </w:rPr>
        <w:t>Availability of harmonis</w:t>
      </w:r>
      <w:r w:rsidR="00555D70" w:rsidRPr="00782475">
        <w:rPr>
          <w:rFonts w:ascii="Arial" w:hAnsi="Arial"/>
          <w:lang w:val="en-GB"/>
        </w:rPr>
        <w:t>ed data exchange sets from OASIS PLCS TC</w:t>
      </w:r>
    </w:p>
    <w:p w:rsidR="00555D70" w:rsidRPr="00782475" w:rsidRDefault="00555D70" w:rsidP="00555D70">
      <w:pPr>
        <w:pStyle w:val="Clause"/>
        <w:rPr>
          <w:rFonts w:ascii="Arial" w:hAnsi="Arial"/>
          <w:lang w:val="en-GB"/>
        </w:rPr>
      </w:pPr>
      <w:r w:rsidRPr="00782475">
        <w:rPr>
          <w:rFonts w:ascii="Arial" w:hAnsi="Arial"/>
          <w:lang w:val="en-GB"/>
        </w:rPr>
        <w:t xml:space="preserve">Business benefits </w:t>
      </w:r>
    </w:p>
    <w:p w:rsidR="00555D70" w:rsidRPr="00782475" w:rsidRDefault="00555D70" w:rsidP="00782475">
      <w:pPr>
        <w:numPr>
          <w:ilvl w:val="1"/>
          <w:numId w:val="6"/>
        </w:numPr>
        <w:tabs>
          <w:tab w:val="clear" w:pos="360"/>
          <w:tab w:val="left" w:pos="567"/>
        </w:tabs>
        <w:ind w:left="567" w:hanging="567"/>
        <w:jc w:val="both"/>
        <w:rPr>
          <w:rFonts w:ascii="Arial" w:hAnsi="Arial"/>
        </w:rPr>
      </w:pPr>
      <w:r w:rsidRPr="00782475">
        <w:rPr>
          <w:rFonts w:ascii="Arial" w:hAnsi="Arial"/>
        </w:rPr>
        <w:t>Company investment in product information is protected throughout its life from changes in process and underlying information technology.</w:t>
      </w:r>
    </w:p>
    <w:p w:rsidR="00555D70" w:rsidRPr="00782475" w:rsidRDefault="00555D70" w:rsidP="00782475">
      <w:pPr>
        <w:numPr>
          <w:ilvl w:val="1"/>
          <w:numId w:val="6"/>
        </w:numPr>
        <w:tabs>
          <w:tab w:val="clear" w:pos="360"/>
          <w:tab w:val="left" w:pos="567"/>
        </w:tabs>
        <w:ind w:left="567" w:hanging="567"/>
        <w:jc w:val="both"/>
        <w:rPr>
          <w:rFonts w:ascii="Arial" w:hAnsi="Arial"/>
        </w:rPr>
      </w:pPr>
      <w:r w:rsidRPr="00782475">
        <w:rPr>
          <w:rFonts w:ascii="Arial" w:hAnsi="Arial"/>
        </w:rPr>
        <w:t>Opportunity for suppliers to send and receive product-related information in a common format</w:t>
      </w:r>
    </w:p>
    <w:p w:rsidR="00555D70" w:rsidRPr="00782475" w:rsidRDefault="00555D70" w:rsidP="00782475">
      <w:pPr>
        <w:numPr>
          <w:ilvl w:val="1"/>
          <w:numId w:val="6"/>
        </w:numPr>
        <w:tabs>
          <w:tab w:val="clear" w:pos="360"/>
          <w:tab w:val="left" w:pos="567"/>
        </w:tabs>
        <w:ind w:left="567" w:hanging="567"/>
        <w:jc w:val="both"/>
        <w:rPr>
          <w:rFonts w:ascii="Arial" w:hAnsi="Arial"/>
        </w:rPr>
      </w:pPr>
      <w:r w:rsidRPr="00782475">
        <w:rPr>
          <w:rFonts w:ascii="Arial" w:hAnsi="Arial"/>
        </w:rPr>
        <w:t>International standard facilitates collaboration with international partners and sales to international customers - supersedes national standards</w:t>
      </w:r>
    </w:p>
    <w:p w:rsidR="00555D70" w:rsidRPr="00782475" w:rsidRDefault="00555D70" w:rsidP="00782475">
      <w:pPr>
        <w:numPr>
          <w:ilvl w:val="1"/>
          <w:numId w:val="6"/>
        </w:numPr>
        <w:tabs>
          <w:tab w:val="clear" w:pos="360"/>
          <w:tab w:val="left" w:pos="567"/>
        </w:tabs>
        <w:ind w:left="567" w:hanging="567"/>
        <w:jc w:val="both"/>
        <w:rPr>
          <w:rFonts w:ascii="Arial" w:hAnsi="Arial"/>
        </w:rPr>
      </w:pPr>
      <w:r w:rsidRPr="00782475">
        <w:rPr>
          <w:rFonts w:ascii="Arial" w:hAnsi="Arial"/>
        </w:rPr>
        <w:t>Commonality between PLM and logistics systems for configuration management</w:t>
      </w:r>
    </w:p>
    <w:p w:rsidR="00555D70" w:rsidRPr="00782475" w:rsidRDefault="00555D70" w:rsidP="00782475">
      <w:pPr>
        <w:numPr>
          <w:ilvl w:val="1"/>
          <w:numId w:val="6"/>
        </w:numPr>
        <w:tabs>
          <w:tab w:val="clear" w:pos="360"/>
          <w:tab w:val="left" w:pos="567"/>
        </w:tabs>
        <w:ind w:left="567" w:hanging="567"/>
        <w:jc w:val="both"/>
        <w:rPr>
          <w:rFonts w:ascii="Arial" w:hAnsi="Arial"/>
        </w:rPr>
      </w:pPr>
      <w:r w:rsidRPr="00782475">
        <w:rPr>
          <w:rFonts w:ascii="Arial" w:hAnsi="Arial"/>
        </w:rPr>
        <w:t>Support for interoperability through the adoption of common reference data sets</w:t>
      </w:r>
    </w:p>
    <w:p w:rsidR="00555D70" w:rsidRPr="00782475" w:rsidRDefault="00555D70" w:rsidP="00782475">
      <w:pPr>
        <w:numPr>
          <w:ilvl w:val="1"/>
          <w:numId w:val="6"/>
        </w:numPr>
        <w:tabs>
          <w:tab w:val="clear" w:pos="360"/>
          <w:tab w:val="left" w:pos="567"/>
        </w:tabs>
        <w:ind w:left="567" w:hanging="567"/>
        <w:jc w:val="both"/>
        <w:rPr>
          <w:rFonts w:ascii="Arial" w:hAnsi="Arial"/>
        </w:rPr>
      </w:pPr>
      <w:r w:rsidRPr="00782475">
        <w:rPr>
          <w:rFonts w:ascii="Arial" w:hAnsi="Arial"/>
        </w:rPr>
        <w:t>Facilitation of information flows required to support Capability-Based Logistics</w:t>
      </w:r>
    </w:p>
    <w:p w:rsidR="00555D70" w:rsidRPr="00782475" w:rsidRDefault="00555D70" w:rsidP="00782475">
      <w:pPr>
        <w:numPr>
          <w:ilvl w:val="1"/>
          <w:numId w:val="6"/>
        </w:numPr>
        <w:tabs>
          <w:tab w:val="clear" w:pos="360"/>
          <w:tab w:val="left" w:pos="567"/>
        </w:tabs>
        <w:ind w:left="567" w:hanging="567"/>
        <w:jc w:val="both"/>
        <w:rPr>
          <w:rFonts w:ascii="Arial" w:hAnsi="Arial"/>
        </w:rPr>
      </w:pPr>
      <w:r w:rsidRPr="00782475">
        <w:rPr>
          <w:rFonts w:ascii="Arial" w:hAnsi="Arial"/>
        </w:rPr>
        <w:t>Translation to a standard form has additionally demonstrated significant improvements in information quality and cost reductions through early elimination of inconsistencies and errors</w:t>
      </w:r>
    </w:p>
    <w:p w:rsidR="00555D70" w:rsidRPr="00782475" w:rsidRDefault="00555D70" w:rsidP="00555D70">
      <w:pPr>
        <w:pStyle w:val="Clause"/>
        <w:rPr>
          <w:rFonts w:ascii="Arial" w:hAnsi="Arial" w:cs="Arial"/>
          <w:lang w:val="en-GB"/>
        </w:rPr>
      </w:pPr>
      <w:r w:rsidRPr="00782475">
        <w:rPr>
          <w:rFonts w:ascii="Arial" w:hAnsi="Arial" w:cs="Arial"/>
          <w:lang w:val="en-GB"/>
        </w:rPr>
        <w:t>Location in ASD SSG Framework</w:t>
      </w:r>
    </w:p>
    <w:p w:rsidR="00555D70" w:rsidRPr="00782475" w:rsidRDefault="00555D70" w:rsidP="00555D70">
      <w:pPr>
        <w:rPr>
          <w:rFonts w:ascii="Arial" w:hAnsi="Arial"/>
        </w:rPr>
      </w:pPr>
      <w:r w:rsidRPr="00782475">
        <w:rPr>
          <w:rFonts w:ascii="Arial" w:hAnsi="Arial"/>
        </w:rPr>
        <w:t>Enterprise information - Product definition data through life</w:t>
      </w:r>
    </w:p>
    <w:p w:rsidR="00555D70" w:rsidRPr="00782475" w:rsidRDefault="00555D70" w:rsidP="00555D70">
      <w:pPr>
        <w:pStyle w:val="Clause"/>
        <w:rPr>
          <w:rFonts w:ascii="Arial" w:hAnsi="Arial" w:cs="Arial"/>
          <w:lang w:val="en-GB"/>
        </w:rPr>
      </w:pPr>
      <w:r w:rsidRPr="00782475">
        <w:rPr>
          <w:rFonts w:ascii="Arial" w:hAnsi="Arial" w:cs="Arial"/>
          <w:lang w:val="en-GB"/>
        </w:rPr>
        <w:t>ASD SSG action plan</w:t>
      </w:r>
    </w:p>
    <w:p w:rsidR="00555D70" w:rsidRPr="00782475" w:rsidRDefault="00782475" w:rsidP="00782475">
      <w:pPr>
        <w:pStyle w:val="Bullet"/>
        <w:jc w:val="both"/>
        <w:rPr>
          <w:rFonts w:ascii="Arial" w:hAnsi="Arial"/>
          <w:lang w:val="en-GB"/>
        </w:rPr>
      </w:pPr>
      <w:r>
        <w:rPr>
          <w:rFonts w:ascii="Arial" w:hAnsi="Arial"/>
          <w:lang w:val="en-GB"/>
        </w:rPr>
        <w:t>See AP239 ed3 description.</w:t>
      </w:r>
    </w:p>
    <w:p w:rsidR="00555D70" w:rsidRPr="00782475" w:rsidRDefault="00555D70" w:rsidP="00555D70">
      <w:pPr>
        <w:pStyle w:val="Clause"/>
        <w:rPr>
          <w:rFonts w:ascii="Arial" w:hAnsi="Arial" w:cs="Arial"/>
          <w:lang w:val="en-GB"/>
        </w:rPr>
      </w:pPr>
      <w:r w:rsidRPr="00782475">
        <w:rPr>
          <w:rFonts w:ascii="Arial" w:hAnsi="Arial" w:cs="Arial"/>
          <w:lang w:val="en-GB"/>
        </w:rPr>
        <w:t>ASD SSG Status (updated)</w:t>
      </w:r>
    </w:p>
    <w:p w:rsidR="00555D70" w:rsidRPr="00782475" w:rsidRDefault="00555D70" w:rsidP="00555D70">
      <w:pPr>
        <w:rPr>
          <w:rFonts w:ascii="Arial" w:hAnsi="Arial" w:cs="Arial"/>
        </w:rPr>
      </w:pPr>
      <w:r w:rsidRPr="00782475">
        <w:rPr>
          <w:rFonts w:ascii="Arial" w:hAnsi="Arial" w:cs="Arial"/>
          <w:bCs/>
        </w:rPr>
        <w:t>Blip introduced at SSG meeting 7.</w:t>
      </w:r>
    </w:p>
    <w:p w:rsidR="00555D70" w:rsidRPr="00782475" w:rsidRDefault="00555D70" w:rsidP="00555D70">
      <w:pPr>
        <w:pStyle w:val="Clause"/>
        <w:rPr>
          <w:rFonts w:ascii="Arial" w:hAnsi="Arial" w:cs="Arial"/>
          <w:lang w:val="en-GB"/>
        </w:rPr>
      </w:pPr>
      <w:r w:rsidRPr="00782475">
        <w:rPr>
          <w:rFonts w:ascii="Arial" w:hAnsi="Arial" w:cs="Arial"/>
          <w:lang w:val="en-GB"/>
        </w:rPr>
        <w:t>Adoption Plan</w:t>
      </w:r>
    </w:p>
    <w:p w:rsidR="00555D70" w:rsidRPr="00782475" w:rsidRDefault="00555D70" w:rsidP="00782475">
      <w:pPr>
        <w:jc w:val="both"/>
        <w:rPr>
          <w:rFonts w:ascii="Arial" w:hAnsi="Arial"/>
        </w:rPr>
      </w:pPr>
      <w:r w:rsidRPr="00782475">
        <w:rPr>
          <w:rFonts w:ascii="Arial" w:hAnsi="Arial"/>
        </w:rPr>
        <w:t xml:space="preserve">ASD members can adopt the PLCS information model as a basic structure for overarching logistics information systems, and exploit it for point-to-point interfaces and mapping between systems as required.  </w:t>
      </w:r>
    </w:p>
    <w:p w:rsidR="00555D70" w:rsidRPr="00782475" w:rsidRDefault="00555D70" w:rsidP="00782475">
      <w:pPr>
        <w:jc w:val="both"/>
        <w:rPr>
          <w:rFonts w:ascii="Arial" w:hAnsi="Arial"/>
        </w:rPr>
      </w:pPr>
      <w:r w:rsidRPr="00782475">
        <w:rPr>
          <w:rFonts w:ascii="Arial" w:hAnsi="Arial"/>
        </w:rPr>
        <w:t xml:space="preserve">The development of DEXs can be phased to match business priorities, and supplemented by ASD implementation guidelines to facilitate consistent deployment. </w:t>
      </w:r>
    </w:p>
    <w:p w:rsidR="00555D70" w:rsidRDefault="00555D70" w:rsidP="00782475">
      <w:pPr>
        <w:jc w:val="both"/>
        <w:rPr>
          <w:rFonts w:ascii="Arial" w:hAnsi="Arial"/>
        </w:rPr>
      </w:pPr>
      <w:r w:rsidRPr="00782475">
        <w:rPr>
          <w:rFonts w:ascii="Arial" w:hAnsi="Arial"/>
        </w:rPr>
        <w:t>No formal adoption by ASD needed at this stage.</w:t>
      </w:r>
    </w:p>
    <w:p w:rsidR="00782475" w:rsidRPr="00782475" w:rsidRDefault="00782475" w:rsidP="00782475">
      <w:pPr>
        <w:jc w:val="both"/>
        <w:rPr>
          <w:rFonts w:ascii="Arial" w:hAnsi="Arial"/>
        </w:rPr>
      </w:pPr>
      <w:r>
        <w:rPr>
          <w:rFonts w:ascii="Arial" w:hAnsi="Arial"/>
        </w:rPr>
        <w:t>ASD plans to formally adopt AP239 PLCS Edition 3.</w:t>
      </w:r>
    </w:p>
    <w:p w:rsidR="00555D70" w:rsidRPr="00782475" w:rsidRDefault="00555D70" w:rsidP="00555D70">
      <w:pPr>
        <w:pStyle w:val="Clause"/>
        <w:rPr>
          <w:rFonts w:ascii="Arial" w:hAnsi="Arial" w:cs="Arial"/>
          <w:lang w:val="en-GB"/>
        </w:rPr>
      </w:pPr>
      <w:r w:rsidRPr="00782475">
        <w:rPr>
          <w:rFonts w:ascii="Arial" w:hAnsi="Arial" w:cs="Arial"/>
          <w:lang w:val="en-GB"/>
        </w:rPr>
        <w:t xml:space="preserve">ASD adoption statement </w:t>
      </w:r>
    </w:p>
    <w:p w:rsidR="00782475" w:rsidRDefault="00782475" w:rsidP="00782475">
      <w:pPr>
        <w:jc w:val="both"/>
        <w:rPr>
          <w:rFonts w:ascii="Arial" w:hAnsi="Arial" w:cs="Arial"/>
        </w:rPr>
      </w:pPr>
      <w:r>
        <w:rPr>
          <w:rFonts w:ascii="Arial" w:hAnsi="Arial" w:cs="Arial"/>
          <w:bCs/>
        </w:rPr>
        <w:t>None</w:t>
      </w:r>
      <w:r w:rsidR="00555D70" w:rsidRPr="00782475">
        <w:rPr>
          <w:rFonts w:ascii="Arial" w:hAnsi="Arial" w:cs="Arial"/>
        </w:rPr>
        <w:t xml:space="preserve"> </w:t>
      </w:r>
    </w:p>
    <w:p w:rsidR="00555D70" w:rsidRPr="00782475" w:rsidRDefault="00555D70" w:rsidP="00782475">
      <w:pPr>
        <w:jc w:val="both"/>
        <w:rPr>
          <w:rFonts w:ascii="Arial" w:hAnsi="Arial" w:cs="Arial"/>
          <w:b/>
        </w:rPr>
      </w:pPr>
      <w:r w:rsidRPr="00782475">
        <w:rPr>
          <w:rFonts w:ascii="Arial" w:hAnsi="Arial" w:cs="Arial"/>
        </w:rPr>
        <w:br/>
      </w:r>
      <w:r w:rsidRPr="00782475">
        <w:rPr>
          <w:rFonts w:ascii="Arial" w:hAnsi="Arial" w:cs="Arial"/>
          <w:b/>
        </w:rPr>
        <w:t xml:space="preserve">ASD recommendation </w:t>
      </w:r>
    </w:p>
    <w:p w:rsidR="00555D70" w:rsidRPr="00782475" w:rsidRDefault="00782475" w:rsidP="00555D70">
      <w:pPr>
        <w:rPr>
          <w:rFonts w:ascii="Arial" w:hAnsi="Arial" w:cs="Arial"/>
        </w:rPr>
      </w:pPr>
      <w:r>
        <w:rPr>
          <w:rFonts w:ascii="Arial" w:hAnsi="Arial" w:cs="Arial"/>
          <w:bCs/>
        </w:rPr>
        <w:t>None</w:t>
      </w:r>
      <w:r w:rsidR="00555D70" w:rsidRPr="00782475">
        <w:rPr>
          <w:rFonts w:ascii="Arial" w:hAnsi="Arial" w:cs="Arial"/>
        </w:rPr>
        <w:t xml:space="preserve"> </w:t>
      </w:r>
      <w:r w:rsidR="00555D70" w:rsidRPr="00782475">
        <w:rPr>
          <w:rFonts w:ascii="Arial" w:hAnsi="Arial" w:cs="Arial"/>
        </w:rPr>
        <w:br/>
      </w:r>
    </w:p>
    <w:p w:rsidR="00555D70" w:rsidRPr="00782475" w:rsidRDefault="00555D70" w:rsidP="00782475">
      <w:pPr>
        <w:pStyle w:val="Clause"/>
        <w:ind w:left="0" w:firstLine="0"/>
        <w:rPr>
          <w:rFonts w:ascii="Arial" w:hAnsi="Arial"/>
          <w:lang w:val="en-GB"/>
        </w:rPr>
      </w:pPr>
      <w:r w:rsidRPr="00782475">
        <w:rPr>
          <w:rFonts w:ascii="Arial" w:hAnsi="Arial"/>
          <w:lang w:val="en-GB"/>
        </w:rPr>
        <w:t xml:space="preserve">Link to a standards host site </w:t>
      </w:r>
    </w:p>
    <w:p w:rsidR="00555D70" w:rsidRPr="00782475" w:rsidRDefault="00555D70" w:rsidP="00555D70">
      <w:pPr>
        <w:rPr>
          <w:rFonts w:ascii="Arial" w:hAnsi="Arial"/>
        </w:rPr>
      </w:pPr>
      <w:r w:rsidRPr="00782475">
        <w:rPr>
          <w:rFonts w:ascii="Arial" w:hAnsi="Arial"/>
        </w:rPr>
        <w:t xml:space="preserve">ISO TC 184/SC 4 -  </w:t>
      </w:r>
      <w:hyperlink r:id="rId8" w:history="1">
        <w:r w:rsidRPr="00782475">
          <w:rPr>
            <w:rStyle w:val="Lienhypertexte"/>
            <w:rFonts w:ascii="Arial" w:hAnsi="Arial"/>
          </w:rPr>
          <w:t>http://www.tc184-sc4.org</w:t>
        </w:r>
      </w:hyperlink>
      <w:r w:rsidRPr="00782475">
        <w:rPr>
          <w:rFonts w:ascii="Arial" w:hAnsi="Arial"/>
        </w:rPr>
        <w:t xml:space="preserve"> </w:t>
      </w:r>
    </w:p>
    <w:p w:rsidR="00555D70" w:rsidRPr="00782475" w:rsidRDefault="00555D70" w:rsidP="00555D70">
      <w:pPr>
        <w:rPr>
          <w:rFonts w:ascii="Arial" w:hAnsi="Arial"/>
        </w:rPr>
      </w:pPr>
      <w:r w:rsidRPr="00782475">
        <w:rPr>
          <w:rFonts w:ascii="Arial" w:hAnsi="Arial"/>
        </w:rPr>
        <w:t xml:space="preserve">OASIS PLCS TC - </w:t>
      </w:r>
      <w:hyperlink r:id="rId9" w:history="1">
        <w:r w:rsidRPr="00782475">
          <w:rPr>
            <w:rStyle w:val="Lienhypertexte"/>
            <w:rFonts w:ascii="Arial" w:hAnsi="Arial"/>
          </w:rPr>
          <w:t>http://www.oasis-open.org/apps/org/workgroup/plcs/</w:t>
        </w:r>
      </w:hyperlink>
      <w:r w:rsidRPr="00782475">
        <w:rPr>
          <w:rFonts w:ascii="Arial" w:hAnsi="Arial"/>
        </w:rPr>
        <w:t xml:space="preserve">  </w:t>
      </w:r>
    </w:p>
    <w:p w:rsidR="00555D70" w:rsidRPr="00782475" w:rsidRDefault="00555D70" w:rsidP="00555D70">
      <w:pPr>
        <w:pStyle w:val="Clause"/>
        <w:rPr>
          <w:rFonts w:ascii="Arial" w:hAnsi="Arial"/>
          <w:lang w:val="en-GB"/>
        </w:rPr>
      </w:pPr>
      <w:r w:rsidRPr="00782475">
        <w:rPr>
          <w:rFonts w:ascii="Arial" w:hAnsi="Arial"/>
          <w:lang w:val="en-GB"/>
        </w:rPr>
        <w:t xml:space="preserve">Link to supporting material </w:t>
      </w:r>
    </w:p>
    <w:p w:rsidR="00555D70" w:rsidRPr="00782475" w:rsidRDefault="00555D70" w:rsidP="00555D70">
      <w:pPr>
        <w:rPr>
          <w:rFonts w:ascii="Arial" w:hAnsi="Arial" w:cs="Arial"/>
        </w:rPr>
      </w:pPr>
      <w:hyperlink r:id="rId10" w:history="1">
        <w:r w:rsidRPr="00782475">
          <w:rPr>
            <w:rStyle w:val="Lienhypertexte"/>
            <w:rFonts w:ascii="Arial" w:hAnsi="Arial" w:cs="Arial"/>
          </w:rPr>
          <w:t xml:space="preserve">Aerospace Industry Guidelines for Implementing Interoperability Standards for Engineering Data </w:t>
        </w:r>
      </w:hyperlink>
      <w:hyperlink r:id="rId11" w:history="1">
        <w:r w:rsidRPr="00782475">
          <w:rPr>
            <w:rStyle w:val="Lienhypertexte"/>
            <w:rFonts w:ascii="Arial" w:hAnsi="Arial" w:cs="Arial"/>
          </w:rPr>
          <w:t>NISTIR 7339</w:t>
        </w:r>
      </w:hyperlink>
      <w:r w:rsidRPr="00782475">
        <w:rPr>
          <w:rFonts w:ascii="Arial" w:hAnsi="Arial" w:cs="Arial"/>
        </w:rPr>
        <w:t xml:space="preserve"> - An Analysis of Standards for Life Cycle Management of Systems for the US Army</w:t>
      </w:r>
    </w:p>
    <w:p w:rsidR="00555D70" w:rsidRPr="00782475" w:rsidRDefault="00555D70" w:rsidP="00555D70">
      <w:pPr>
        <w:rPr>
          <w:rFonts w:ascii="Arial" w:hAnsi="Arial" w:cs="Arial"/>
        </w:rPr>
      </w:pPr>
      <w:r w:rsidRPr="00782475">
        <w:rPr>
          <w:rFonts w:ascii="Arial" w:hAnsi="Arial" w:cs="Arial"/>
        </w:rPr>
        <w:t xml:space="preserve">PLCS DEX resources - </w:t>
      </w:r>
      <w:hyperlink r:id="rId12" w:history="1">
        <w:r w:rsidRPr="00782475">
          <w:rPr>
            <w:rStyle w:val="Lienhypertexte"/>
            <w:rFonts w:ascii="Arial" w:hAnsi="Arial" w:cs="Arial"/>
          </w:rPr>
          <w:t>www.plcs-resources.org</w:t>
        </w:r>
      </w:hyperlink>
      <w:r w:rsidRPr="00782475">
        <w:rPr>
          <w:rFonts w:ascii="Arial" w:hAnsi="Arial" w:cs="Arial"/>
        </w:rPr>
        <w:t xml:space="preserve"> </w:t>
      </w:r>
    </w:p>
    <w:p w:rsidR="00555D70" w:rsidRPr="00782475" w:rsidRDefault="00555D70" w:rsidP="00555D70">
      <w:pPr>
        <w:rPr>
          <w:rFonts w:ascii="Arial" w:hAnsi="Arial" w:cs="Arial"/>
        </w:rPr>
      </w:pPr>
    </w:p>
    <w:p w:rsidR="00C9758A" w:rsidRPr="00782475" w:rsidRDefault="00C9758A"/>
    <w:sectPr w:rsidR="00C9758A" w:rsidRPr="00782475">
      <w:headerReference w:type="default" r:id="rId13"/>
      <w:footerReference w:type="default" r:id="rId14"/>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C0629" w:rsidRDefault="002C0629">
      <w:r>
        <w:separator/>
      </w:r>
    </w:p>
  </w:endnote>
  <w:endnote w:type="continuationSeparator" w:id="0">
    <w:p w:rsidR="002C0629" w:rsidRDefault="002C06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5D70" w:rsidRPr="003C1276" w:rsidRDefault="00555D70" w:rsidP="00782475">
    <w:pPr>
      <w:pStyle w:val="AIAHeader"/>
      <w:tabs>
        <w:tab w:val="left" w:pos="2694"/>
        <w:tab w:val="left" w:pos="4253"/>
      </w:tabs>
      <w:rPr>
        <w:rStyle w:val="Numrodepage"/>
        <w:rFonts w:ascii="Arial" w:hAnsi="Arial"/>
        <w:b w:val="0"/>
        <w:sz w:val="20"/>
        <w:lang w:val="en-GB"/>
      </w:rPr>
    </w:pPr>
    <w:r>
      <w:rPr>
        <w:rFonts w:ascii="Arial" w:hAnsi="Arial"/>
        <w:b w:val="0"/>
        <w:sz w:val="20"/>
      </w:rPr>
      <w:t>STEP AP239 PLCS</w:t>
    </w:r>
    <w:r w:rsidR="00782475">
      <w:rPr>
        <w:rFonts w:ascii="Arial" w:hAnsi="Arial"/>
        <w:b w:val="0"/>
        <w:sz w:val="20"/>
      </w:rPr>
      <w:t xml:space="preserve"> ed2</w:t>
    </w:r>
    <w:r>
      <w:rPr>
        <w:rFonts w:ascii="Arial" w:hAnsi="Arial"/>
        <w:b w:val="0"/>
        <w:sz w:val="20"/>
      </w:rPr>
      <w:tab/>
      <w:t xml:space="preserve">Page </w:t>
    </w:r>
    <w:r>
      <w:rPr>
        <w:rStyle w:val="Numrodepage"/>
        <w:rFonts w:ascii="Arial" w:hAnsi="Arial"/>
        <w:b w:val="0"/>
        <w:sz w:val="20"/>
        <w:lang w:val="en-GB"/>
      </w:rPr>
      <w:fldChar w:fldCharType="begin"/>
    </w:r>
    <w:r>
      <w:rPr>
        <w:rStyle w:val="Numrodepage"/>
        <w:rFonts w:ascii="Arial" w:hAnsi="Arial"/>
        <w:b w:val="0"/>
        <w:sz w:val="20"/>
        <w:lang w:val="en-GB"/>
      </w:rPr>
      <w:instrText xml:space="preserve"> PAGE </w:instrText>
    </w:r>
    <w:r>
      <w:rPr>
        <w:rStyle w:val="Numrodepage"/>
        <w:rFonts w:ascii="Arial" w:hAnsi="Arial"/>
        <w:b w:val="0"/>
        <w:sz w:val="20"/>
        <w:lang w:val="en-GB"/>
      </w:rPr>
      <w:fldChar w:fldCharType="separate"/>
    </w:r>
    <w:r w:rsidR="00782475">
      <w:rPr>
        <w:rStyle w:val="Numrodepage"/>
        <w:rFonts w:ascii="Arial" w:hAnsi="Arial"/>
        <w:b w:val="0"/>
        <w:noProof/>
        <w:sz w:val="20"/>
        <w:lang w:val="en-GB"/>
      </w:rPr>
      <w:t>1</w:t>
    </w:r>
    <w:r>
      <w:rPr>
        <w:rStyle w:val="Numrodepage"/>
        <w:rFonts w:ascii="Arial" w:hAnsi="Arial"/>
        <w:b w:val="0"/>
        <w:sz w:val="20"/>
        <w:lang w:val="en-GB"/>
      </w:rPr>
      <w:fldChar w:fldCharType="end"/>
    </w:r>
    <w:r w:rsidR="00782475">
      <w:rPr>
        <w:rStyle w:val="Numrodepage"/>
        <w:rFonts w:ascii="Arial" w:hAnsi="Arial"/>
        <w:b w:val="0"/>
        <w:sz w:val="20"/>
        <w:lang w:val="en-GB"/>
      </w:rPr>
      <w:tab/>
      <w:t>Revision Date:  2016-09-06</w:t>
    </w:r>
    <w:r w:rsidR="00782475">
      <w:rPr>
        <w:rStyle w:val="Numrodepage"/>
        <w:rFonts w:ascii="Arial" w:hAnsi="Arial"/>
        <w:b w:val="0"/>
        <w:sz w:val="20"/>
        <w:lang w:val="en-GB"/>
      </w:rPr>
      <w:tab/>
      <w:t>Copyright © 2016</w:t>
    </w:r>
    <w:r w:rsidR="003C1276" w:rsidRPr="003C1276">
      <w:rPr>
        <w:rStyle w:val="Numrodepage"/>
        <w:rFonts w:ascii="Arial" w:hAnsi="Arial"/>
        <w:b w:val="0"/>
        <w:sz w:val="20"/>
        <w:lang w:val="en-GB"/>
      </w:rPr>
      <w:t xml:space="preserve"> ASD</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C0629" w:rsidRDefault="002C0629">
      <w:r>
        <w:separator/>
      </w:r>
    </w:p>
  </w:footnote>
  <w:footnote w:type="continuationSeparator" w:id="0">
    <w:p w:rsidR="002C0629" w:rsidRDefault="002C062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5D70" w:rsidRDefault="0036160E">
    <w:pPr>
      <w:pStyle w:val="En-tte"/>
      <w:tabs>
        <w:tab w:val="clear" w:pos="8640"/>
        <w:tab w:val="right" w:pos="9540"/>
      </w:tabs>
      <w:rPr>
        <w:rFonts w:ascii="Arial" w:hAnsi="Arial"/>
        <w:b/>
      </w:rPr>
    </w:pPr>
    <w:r>
      <w:rPr>
        <w:noProof/>
      </w:rPr>
      <w:drawing>
        <wp:inline distT="0" distB="0" distL="0" distR="0">
          <wp:extent cx="4181475" cy="533400"/>
          <wp:effectExtent l="0" t="0" r="9525" b="0"/>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81475" cy="533400"/>
                  </a:xfrm>
                  <a:prstGeom prst="rect">
                    <a:avLst/>
                  </a:prstGeom>
                  <a:noFill/>
                </pic:spPr>
              </pic:pic>
            </a:graphicData>
          </a:graphic>
        </wp:inline>
      </w:drawing>
    </w:r>
    <w:r>
      <w:rPr>
        <w:noProof/>
      </w:rPr>
      <w:drawing>
        <wp:inline distT="0" distB="0" distL="0" distR="0">
          <wp:extent cx="1657350" cy="561975"/>
          <wp:effectExtent l="0" t="0" r="0" b="9525"/>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657350" cy="561975"/>
                  </a:xfrm>
                  <a:prstGeom prst="rect">
                    <a:avLst/>
                  </a:prstGeom>
                  <a:noFill/>
                </pic:spPr>
              </pic:pic>
            </a:graphicData>
          </a:graphic>
        </wp:inline>
      </w:drawing>
    </w:r>
    <w:r w:rsidR="00555D70">
      <w:tab/>
    </w:r>
  </w:p>
  <w:p w:rsidR="00555D70" w:rsidRDefault="00555D70">
    <w:pPr>
      <w:pStyle w:val="En-tte"/>
      <w:jc w:val="center"/>
      <w:rPr>
        <w:rFonts w:ascii="Arial" w:hAnsi="Arial"/>
      </w:rPr>
    </w:pPr>
    <w:r>
      <w:rPr>
        <w:rFonts w:ascii="Arial" w:hAnsi="Arial"/>
      </w:rPr>
      <w:t>Technology Radar Element Description</w:t>
    </w:r>
  </w:p>
  <w:p w:rsidR="00555D70" w:rsidRDefault="00555D70">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94CEC"/>
    <w:multiLevelType w:val="hybridMultilevel"/>
    <w:tmpl w:val="28128974"/>
    <w:lvl w:ilvl="0" w:tplc="FFFFFFFF">
      <w:start w:val="1"/>
      <w:numFmt w:val="decimal"/>
      <w:lvlText w:val="%1."/>
      <w:lvlJc w:val="left"/>
      <w:pPr>
        <w:tabs>
          <w:tab w:val="num" w:pos="360"/>
        </w:tabs>
        <w:ind w:left="360" w:hanging="360"/>
      </w:pPr>
      <w:rPr>
        <w:rFonts w:hint="default"/>
      </w:rPr>
    </w:lvl>
    <w:lvl w:ilvl="1" w:tplc="FFFFFFFF">
      <w:start w:val="1"/>
      <w:numFmt w:val="decimal"/>
      <w:lvlText w:val="%2."/>
      <w:lvlJc w:val="left"/>
      <w:pPr>
        <w:tabs>
          <w:tab w:val="num" w:pos="360"/>
        </w:tabs>
        <w:ind w:left="360" w:hanging="360"/>
      </w:pPr>
      <w:rPr>
        <w:rFonts w:hint="default"/>
      </w:rPr>
    </w:lvl>
    <w:lvl w:ilvl="2" w:tplc="FFFFFFFF" w:tentative="1">
      <w:start w:val="1"/>
      <w:numFmt w:val="bullet"/>
      <w:lvlText w:val=""/>
      <w:lvlJc w:val="left"/>
      <w:pPr>
        <w:tabs>
          <w:tab w:val="num" w:pos="1080"/>
        </w:tabs>
        <w:ind w:left="1080" w:hanging="360"/>
      </w:pPr>
      <w:rPr>
        <w:rFonts w:ascii="Wingdings" w:hAnsi="Wingdings" w:hint="default"/>
      </w:rPr>
    </w:lvl>
    <w:lvl w:ilvl="3" w:tplc="FFFFFFFF" w:tentative="1">
      <w:start w:val="1"/>
      <w:numFmt w:val="bullet"/>
      <w:lvlText w:val=""/>
      <w:lvlJc w:val="left"/>
      <w:pPr>
        <w:tabs>
          <w:tab w:val="num" w:pos="1800"/>
        </w:tabs>
        <w:ind w:left="1800" w:hanging="360"/>
      </w:pPr>
      <w:rPr>
        <w:rFonts w:ascii="Symbol" w:hAnsi="Symbol" w:hint="default"/>
      </w:rPr>
    </w:lvl>
    <w:lvl w:ilvl="4" w:tplc="FFFFFFFF" w:tentative="1">
      <w:start w:val="1"/>
      <w:numFmt w:val="bullet"/>
      <w:lvlText w:val="o"/>
      <w:lvlJc w:val="left"/>
      <w:pPr>
        <w:tabs>
          <w:tab w:val="num" w:pos="2520"/>
        </w:tabs>
        <w:ind w:left="2520" w:hanging="360"/>
      </w:pPr>
      <w:rPr>
        <w:rFonts w:ascii="Courier New" w:hAnsi="Courier New" w:cs="Courier New" w:hint="default"/>
      </w:rPr>
    </w:lvl>
    <w:lvl w:ilvl="5" w:tplc="FFFFFFFF" w:tentative="1">
      <w:start w:val="1"/>
      <w:numFmt w:val="bullet"/>
      <w:lvlText w:val=""/>
      <w:lvlJc w:val="left"/>
      <w:pPr>
        <w:tabs>
          <w:tab w:val="num" w:pos="3240"/>
        </w:tabs>
        <w:ind w:left="3240" w:hanging="360"/>
      </w:pPr>
      <w:rPr>
        <w:rFonts w:ascii="Wingdings" w:hAnsi="Wingdings" w:hint="default"/>
      </w:rPr>
    </w:lvl>
    <w:lvl w:ilvl="6" w:tplc="FFFFFFFF" w:tentative="1">
      <w:start w:val="1"/>
      <w:numFmt w:val="bullet"/>
      <w:lvlText w:val=""/>
      <w:lvlJc w:val="left"/>
      <w:pPr>
        <w:tabs>
          <w:tab w:val="num" w:pos="3960"/>
        </w:tabs>
        <w:ind w:left="3960" w:hanging="360"/>
      </w:pPr>
      <w:rPr>
        <w:rFonts w:ascii="Symbol" w:hAnsi="Symbol" w:hint="default"/>
      </w:rPr>
    </w:lvl>
    <w:lvl w:ilvl="7" w:tplc="FFFFFFFF" w:tentative="1">
      <w:start w:val="1"/>
      <w:numFmt w:val="bullet"/>
      <w:lvlText w:val="o"/>
      <w:lvlJc w:val="left"/>
      <w:pPr>
        <w:tabs>
          <w:tab w:val="num" w:pos="4680"/>
        </w:tabs>
        <w:ind w:left="4680" w:hanging="360"/>
      </w:pPr>
      <w:rPr>
        <w:rFonts w:ascii="Courier New" w:hAnsi="Courier New" w:cs="Courier New" w:hint="default"/>
      </w:rPr>
    </w:lvl>
    <w:lvl w:ilvl="8" w:tplc="FFFFFFFF" w:tentative="1">
      <w:start w:val="1"/>
      <w:numFmt w:val="bullet"/>
      <w:lvlText w:val=""/>
      <w:lvlJc w:val="left"/>
      <w:pPr>
        <w:tabs>
          <w:tab w:val="num" w:pos="5400"/>
        </w:tabs>
        <w:ind w:left="5400" w:hanging="360"/>
      </w:pPr>
      <w:rPr>
        <w:rFonts w:ascii="Wingdings" w:hAnsi="Wingdings" w:hint="default"/>
      </w:rPr>
    </w:lvl>
  </w:abstractNum>
  <w:abstractNum w:abstractNumId="1">
    <w:nsid w:val="13C113AA"/>
    <w:multiLevelType w:val="hybridMultilevel"/>
    <w:tmpl w:val="2EDE3F52"/>
    <w:lvl w:ilvl="0" w:tplc="FFFFFFFF">
      <w:start w:val="1"/>
      <w:numFmt w:val="bullet"/>
      <w:lvlText w:val="•"/>
      <w:lvlJc w:val="left"/>
      <w:pPr>
        <w:tabs>
          <w:tab w:val="num" w:pos="720"/>
        </w:tabs>
        <w:ind w:left="720" w:hanging="360"/>
      </w:pPr>
      <w:rPr>
        <w:rFonts w:ascii="Times New Roman" w:hAnsi="Times New Roman" w:hint="default"/>
      </w:rPr>
    </w:lvl>
    <w:lvl w:ilvl="1" w:tplc="FFFFFFFF">
      <w:start w:val="172"/>
      <w:numFmt w:val="bullet"/>
      <w:lvlText w:val="•"/>
      <w:lvlJc w:val="left"/>
      <w:pPr>
        <w:tabs>
          <w:tab w:val="num" w:pos="1440"/>
        </w:tabs>
        <w:ind w:left="1440" w:hanging="360"/>
      </w:pPr>
      <w:rPr>
        <w:rFonts w:ascii="Times New Roman" w:hAnsi="Times New Roman" w:hint="default"/>
      </w:rPr>
    </w:lvl>
    <w:lvl w:ilvl="2" w:tplc="FFFFFFFF" w:tentative="1">
      <w:start w:val="1"/>
      <w:numFmt w:val="bullet"/>
      <w:lvlText w:val="•"/>
      <w:lvlJc w:val="left"/>
      <w:pPr>
        <w:tabs>
          <w:tab w:val="num" w:pos="2160"/>
        </w:tabs>
        <w:ind w:left="2160" w:hanging="360"/>
      </w:pPr>
      <w:rPr>
        <w:rFonts w:ascii="Times New Roman" w:hAnsi="Times New Roman" w:hint="default"/>
      </w:rPr>
    </w:lvl>
    <w:lvl w:ilvl="3" w:tplc="FFFFFFFF" w:tentative="1">
      <w:start w:val="1"/>
      <w:numFmt w:val="bullet"/>
      <w:lvlText w:val="•"/>
      <w:lvlJc w:val="left"/>
      <w:pPr>
        <w:tabs>
          <w:tab w:val="num" w:pos="2880"/>
        </w:tabs>
        <w:ind w:left="2880" w:hanging="360"/>
      </w:pPr>
      <w:rPr>
        <w:rFonts w:ascii="Times New Roman" w:hAnsi="Times New Roman" w:hint="default"/>
      </w:rPr>
    </w:lvl>
    <w:lvl w:ilvl="4" w:tplc="FFFFFFFF" w:tentative="1">
      <w:start w:val="1"/>
      <w:numFmt w:val="bullet"/>
      <w:lvlText w:val="•"/>
      <w:lvlJc w:val="left"/>
      <w:pPr>
        <w:tabs>
          <w:tab w:val="num" w:pos="3600"/>
        </w:tabs>
        <w:ind w:left="3600" w:hanging="360"/>
      </w:pPr>
      <w:rPr>
        <w:rFonts w:ascii="Times New Roman" w:hAnsi="Times New Roman" w:hint="default"/>
      </w:rPr>
    </w:lvl>
    <w:lvl w:ilvl="5" w:tplc="FFFFFFFF" w:tentative="1">
      <w:start w:val="1"/>
      <w:numFmt w:val="bullet"/>
      <w:lvlText w:val="•"/>
      <w:lvlJc w:val="left"/>
      <w:pPr>
        <w:tabs>
          <w:tab w:val="num" w:pos="4320"/>
        </w:tabs>
        <w:ind w:left="4320" w:hanging="360"/>
      </w:pPr>
      <w:rPr>
        <w:rFonts w:ascii="Times New Roman" w:hAnsi="Times New Roman" w:hint="default"/>
      </w:rPr>
    </w:lvl>
    <w:lvl w:ilvl="6" w:tplc="FFFFFFFF" w:tentative="1">
      <w:start w:val="1"/>
      <w:numFmt w:val="bullet"/>
      <w:lvlText w:val="•"/>
      <w:lvlJc w:val="left"/>
      <w:pPr>
        <w:tabs>
          <w:tab w:val="num" w:pos="5040"/>
        </w:tabs>
        <w:ind w:left="5040" w:hanging="360"/>
      </w:pPr>
      <w:rPr>
        <w:rFonts w:ascii="Times New Roman" w:hAnsi="Times New Roman" w:hint="default"/>
      </w:rPr>
    </w:lvl>
    <w:lvl w:ilvl="7" w:tplc="FFFFFFFF" w:tentative="1">
      <w:start w:val="1"/>
      <w:numFmt w:val="bullet"/>
      <w:lvlText w:val="•"/>
      <w:lvlJc w:val="left"/>
      <w:pPr>
        <w:tabs>
          <w:tab w:val="num" w:pos="5760"/>
        </w:tabs>
        <w:ind w:left="5760" w:hanging="360"/>
      </w:pPr>
      <w:rPr>
        <w:rFonts w:ascii="Times New Roman" w:hAnsi="Times New Roman" w:hint="default"/>
      </w:rPr>
    </w:lvl>
    <w:lvl w:ilvl="8" w:tplc="FFFFFFFF" w:tentative="1">
      <w:start w:val="1"/>
      <w:numFmt w:val="bullet"/>
      <w:lvlText w:val="•"/>
      <w:lvlJc w:val="left"/>
      <w:pPr>
        <w:tabs>
          <w:tab w:val="num" w:pos="6480"/>
        </w:tabs>
        <w:ind w:left="6480" w:hanging="360"/>
      </w:pPr>
      <w:rPr>
        <w:rFonts w:ascii="Times New Roman" w:hAnsi="Times New Roman" w:hint="default"/>
      </w:rPr>
    </w:lvl>
  </w:abstractNum>
  <w:abstractNum w:abstractNumId="2">
    <w:nsid w:val="1FCC0DE1"/>
    <w:multiLevelType w:val="multilevel"/>
    <w:tmpl w:val="0409001D"/>
    <w:styleLink w:val="Liste-puces"/>
    <w:lvl w:ilvl="0">
      <w:start w:val="1"/>
      <w:numFmt w:val="bullet"/>
      <w:lvlText w:val=""/>
      <w:lvlJc w:val="left"/>
      <w:pPr>
        <w:tabs>
          <w:tab w:val="num" w:pos="360"/>
        </w:tabs>
        <w:ind w:left="360" w:hanging="360"/>
      </w:pPr>
      <w:rPr>
        <w:rFonts w:ascii="Symbol" w:hAnsi="Symbol" w:hint="default"/>
        <w:color w:val="auto"/>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281D2B6E"/>
    <w:multiLevelType w:val="hybridMultilevel"/>
    <w:tmpl w:val="0DEA0784"/>
    <w:lvl w:ilvl="0" w:tplc="2B2490EC">
      <w:start w:val="1"/>
      <w:numFmt w:val="bullet"/>
      <w:lvlText w:val="•"/>
      <w:lvlJc w:val="left"/>
      <w:pPr>
        <w:tabs>
          <w:tab w:val="num" w:pos="360"/>
        </w:tabs>
        <w:ind w:left="360" w:hanging="360"/>
      </w:pPr>
      <w:rPr>
        <w:rFonts w:ascii="Trebuchet MS" w:hAnsi="Trebuchet MS" w:cs="Trebuchet MS" w:hint="default"/>
      </w:rPr>
    </w:lvl>
    <w:lvl w:ilvl="1" w:tplc="A5542AE8">
      <w:start w:val="1"/>
      <w:numFmt w:val="decimal"/>
      <w:lvlText w:val="%2."/>
      <w:lvlJc w:val="left"/>
      <w:pPr>
        <w:tabs>
          <w:tab w:val="num" w:pos="1440"/>
        </w:tabs>
        <w:ind w:left="1440" w:hanging="360"/>
      </w:pPr>
      <w:rPr>
        <w:rFonts w:hint="default"/>
      </w:rPr>
    </w:lvl>
    <w:lvl w:ilvl="2" w:tplc="69B49922" w:tentative="1">
      <w:start w:val="1"/>
      <w:numFmt w:val="bullet"/>
      <w:lvlText w:val=""/>
      <w:lvlJc w:val="left"/>
      <w:pPr>
        <w:tabs>
          <w:tab w:val="num" w:pos="2160"/>
        </w:tabs>
        <w:ind w:left="2160" w:hanging="360"/>
      </w:pPr>
      <w:rPr>
        <w:rFonts w:ascii="Wingdings" w:hAnsi="Wingdings" w:hint="default"/>
      </w:rPr>
    </w:lvl>
    <w:lvl w:ilvl="3" w:tplc="524C8BF2" w:tentative="1">
      <w:start w:val="1"/>
      <w:numFmt w:val="bullet"/>
      <w:lvlText w:val=""/>
      <w:lvlJc w:val="left"/>
      <w:pPr>
        <w:tabs>
          <w:tab w:val="num" w:pos="2880"/>
        </w:tabs>
        <w:ind w:left="2880" w:hanging="360"/>
      </w:pPr>
      <w:rPr>
        <w:rFonts w:ascii="Symbol" w:hAnsi="Symbol" w:hint="default"/>
      </w:rPr>
    </w:lvl>
    <w:lvl w:ilvl="4" w:tplc="3EEA1344" w:tentative="1">
      <w:start w:val="1"/>
      <w:numFmt w:val="bullet"/>
      <w:lvlText w:val="o"/>
      <w:lvlJc w:val="left"/>
      <w:pPr>
        <w:tabs>
          <w:tab w:val="num" w:pos="3600"/>
        </w:tabs>
        <w:ind w:left="3600" w:hanging="360"/>
      </w:pPr>
      <w:rPr>
        <w:rFonts w:ascii="Courier New" w:hAnsi="Courier New" w:cs="Courier New" w:hint="default"/>
      </w:rPr>
    </w:lvl>
    <w:lvl w:ilvl="5" w:tplc="951CDB6A" w:tentative="1">
      <w:start w:val="1"/>
      <w:numFmt w:val="bullet"/>
      <w:lvlText w:val=""/>
      <w:lvlJc w:val="left"/>
      <w:pPr>
        <w:tabs>
          <w:tab w:val="num" w:pos="4320"/>
        </w:tabs>
        <w:ind w:left="4320" w:hanging="360"/>
      </w:pPr>
      <w:rPr>
        <w:rFonts w:ascii="Wingdings" w:hAnsi="Wingdings" w:hint="default"/>
      </w:rPr>
    </w:lvl>
    <w:lvl w:ilvl="6" w:tplc="2C621C1A" w:tentative="1">
      <w:start w:val="1"/>
      <w:numFmt w:val="bullet"/>
      <w:lvlText w:val=""/>
      <w:lvlJc w:val="left"/>
      <w:pPr>
        <w:tabs>
          <w:tab w:val="num" w:pos="5040"/>
        </w:tabs>
        <w:ind w:left="5040" w:hanging="360"/>
      </w:pPr>
      <w:rPr>
        <w:rFonts w:ascii="Symbol" w:hAnsi="Symbol" w:hint="default"/>
      </w:rPr>
    </w:lvl>
    <w:lvl w:ilvl="7" w:tplc="8B56F9FC" w:tentative="1">
      <w:start w:val="1"/>
      <w:numFmt w:val="bullet"/>
      <w:lvlText w:val="o"/>
      <w:lvlJc w:val="left"/>
      <w:pPr>
        <w:tabs>
          <w:tab w:val="num" w:pos="5760"/>
        </w:tabs>
        <w:ind w:left="5760" w:hanging="360"/>
      </w:pPr>
      <w:rPr>
        <w:rFonts w:ascii="Courier New" w:hAnsi="Courier New" w:cs="Courier New" w:hint="default"/>
      </w:rPr>
    </w:lvl>
    <w:lvl w:ilvl="8" w:tplc="E7DA2446" w:tentative="1">
      <w:start w:val="1"/>
      <w:numFmt w:val="bullet"/>
      <w:lvlText w:val=""/>
      <w:lvlJc w:val="left"/>
      <w:pPr>
        <w:tabs>
          <w:tab w:val="num" w:pos="6480"/>
        </w:tabs>
        <w:ind w:left="6480" w:hanging="360"/>
      </w:pPr>
      <w:rPr>
        <w:rFonts w:ascii="Wingdings" w:hAnsi="Wingdings" w:hint="default"/>
      </w:rPr>
    </w:lvl>
  </w:abstractNum>
  <w:abstractNum w:abstractNumId="4">
    <w:nsid w:val="2CB27051"/>
    <w:multiLevelType w:val="multilevel"/>
    <w:tmpl w:val="B4B863FC"/>
    <w:styleLink w:val="Listeencours2"/>
    <w:lvl w:ilvl="0">
      <w:start w:val="1"/>
      <w:numFmt w:val="decimal"/>
      <w:lvlText w:val="ARTICLE %1 -"/>
      <w:lvlJc w:val="left"/>
      <w:pPr>
        <w:tabs>
          <w:tab w:val="num" w:pos="360"/>
        </w:tabs>
        <w:ind w:left="360" w:hanging="360"/>
      </w:pPr>
      <w:rPr>
        <w:rFonts w:hint="default"/>
      </w:rPr>
    </w:lvl>
    <w:lvl w:ilvl="1">
      <w:start w:val="1"/>
      <w:numFmt w:val="decimal"/>
      <w:lvlRestart w:val="0"/>
      <w:lvlText w:val="%1.%2"/>
      <w:lvlJc w:val="left"/>
      <w:pPr>
        <w:tabs>
          <w:tab w:val="num" w:pos="792"/>
        </w:tabs>
        <w:ind w:left="792" w:hanging="432"/>
      </w:pPr>
      <w:rPr>
        <w:rFonts w:hint="default"/>
        <w:u w:val="none"/>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
    <w:nsid w:val="4A626398"/>
    <w:multiLevelType w:val="hybridMultilevel"/>
    <w:tmpl w:val="018E1140"/>
    <w:lvl w:ilvl="0" w:tplc="FFFFFFFF">
      <w:start w:val="1"/>
      <w:numFmt w:val="bullet"/>
      <w:lvlText w:val=""/>
      <w:lvlJc w:val="left"/>
      <w:pPr>
        <w:tabs>
          <w:tab w:val="num" w:pos="454"/>
        </w:tabs>
        <w:ind w:left="454" w:hanging="454"/>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
    <w:nsid w:val="69220C15"/>
    <w:multiLevelType w:val="hybridMultilevel"/>
    <w:tmpl w:val="37A8B78A"/>
    <w:lvl w:ilvl="0" w:tplc="2B2490EC">
      <w:start w:val="1"/>
      <w:numFmt w:val="bullet"/>
      <w:lvlText w:val="•"/>
      <w:lvlJc w:val="left"/>
      <w:pPr>
        <w:tabs>
          <w:tab w:val="num" w:pos="360"/>
        </w:tabs>
        <w:ind w:left="360" w:hanging="360"/>
      </w:pPr>
      <w:rPr>
        <w:rFonts w:ascii="Trebuchet MS" w:hAnsi="Trebuchet MS" w:cs="Trebuchet MS" w:hint="default"/>
      </w:rPr>
    </w:lvl>
    <w:lvl w:ilvl="1" w:tplc="E7BE183A">
      <w:start w:val="1"/>
      <w:numFmt w:val="decimal"/>
      <w:lvlText w:val="%2."/>
      <w:lvlJc w:val="left"/>
      <w:pPr>
        <w:tabs>
          <w:tab w:val="num" w:pos="1440"/>
        </w:tabs>
        <w:ind w:left="1440" w:hanging="360"/>
      </w:pPr>
      <w:rPr>
        <w:rFonts w:hint="default"/>
      </w:rPr>
    </w:lvl>
    <w:lvl w:ilvl="2" w:tplc="D6B682F2" w:tentative="1">
      <w:start w:val="1"/>
      <w:numFmt w:val="bullet"/>
      <w:lvlText w:val=""/>
      <w:lvlJc w:val="left"/>
      <w:pPr>
        <w:tabs>
          <w:tab w:val="num" w:pos="2160"/>
        </w:tabs>
        <w:ind w:left="2160" w:hanging="360"/>
      </w:pPr>
      <w:rPr>
        <w:rFonts w:ascii="Wingdings" w:hAnsi="Wingdings" w:hint="default"/>
      </w:rPr>
    </w:lvl>
    <w:lvl w:ilvl="3" w:tplc="F738C39E" w:tentative="1">
      <w:start w:val="1"/>
      <w:numFmt w:val="bullet"/>
      <w:lvlText w:val=""/>
      <w:lvlJc w:val="left"/>
      <w:pPr>
        <w:tabs>
          <w:tab w:val="num" w:pos="2880"/>
        </w:tabs>
        <w:ind w:left="2880" w:hanging="360"/>
      </w:pPr>
      <w:rPr>
        <w:rFonts w:ascii="Symbol" w:hAnsi="Symbol" w:hint="default"/>
      </w:rPr>
    </w:lvl>
    <w:lvl w:ilvl="4" w:tplc="36FCE0B0" w:tentative="1">
      <w:start w:val="1"/>
      <w:numFmt w:val="bullet"/>
      <w:lvlText w:val="o"/>
      <w:lvlJc w:val="left"/>
      <w:pPr>
        <w:tabs>
          <w:tab w:val="num" w:pos="3600"/>
        </w:tabs>
        <w:ind w:left="3600" w:hanging="360"/>
      </w:pPr>
      <w:rPr>
        <w:rFonts w:ascii="Courier New" w:hAnsi="Courier New" w:cs="Courier New" w:hint="default"/>
      </w:rPr>
    </w:lvl>
    <w:lvl w:ilvl="5" w:tplc="3FB8BF22" w:tentative="1">
      <w:start w:val="1"/>
      <w:numFmt w:val="bullet"/>
      <w:lvlText w:val=""/>
      <w:lvlJc w:val="left"/>
      <w:pPr>
        <w:tabs>
          <w:tab w:val="num" w:pos="4320"/>
        </w:tabs>
        <w:ind w:left="4320" w:hanging="360"/>
      </w:pPr>
      <w:rPr>
        <w:rFonts w:ascii="Wingdings" w:hAnsi="Wingdings" w:hint="default"/>
      </w:rPr>
    </w:lvl>
    <w:lvl w:ilvl="6" w:tplc="038212EE" w:tentative="1">
      <w:start w:val="1"/>
      <w:numFmt w:val="bullet"/>
      <w:lvlText w:val=""/>
      <w:lvlJc w:val="left"/>
      <w:pPr>
        <w:tabs>
          <w:tab w:val="num" w:pos="5040"/>
        </w:tabs>
        <w:ind w:left="5040" w:hanging="360"/>
      </w:pPr>
      <w:rPr>
        <w:rFonts w:ascii="Symbol" w:hAnsi="Symbol" w:hint="default"/>
      </w:rPr>
    </w:lvl>
    <w:lvl w:ilvl="7" w:tplc="9ECA2732" w:tentative="1">
      <w:start w:val="1"/>
      <w:numFmt w:val="bullet"/>
      <w:lvlText w:val="o"/>
      <w:lvlJc w:val="left"/>
      <w:pPr>
        <w:tabs>
          <w:tab w:val="num" w:pos="5760"/>
        </w:tabs>
        <w:ind w:left="5760" w:hanging="360"/>
      </w:pPr>
      <w:rPr>
        <w:rFonts w:ascii="Courier New" w:hAnsi="Courier New" w:cs="Courier New" w:hint="default"/>
      </w:rPr>
    </w:lvl>
    <w:lvl w:ilvl="8" w:tplc="042694DC" w:tentative="1">
      <w:start w:val="1"/>
      <w:numFmt w:val="bullet"/>
      <w:lvlText w:val=""/>
      <w:lvlJc w:val="left"/>
      <w:pPr>
        <w:tabs>
          <w:tab w:val="num" w:pos="6480"/>
        </w:tabs>
        <w:ind w:left="6480" w:hanging="360"/>
      </w:pPr>
      <w:rPr>
        <w:rFonts w:ascii="Wingdings" w:hAnsi="Wingdings" w:hint="default"/>
      </w:rPr>
    </w:lvl>
  </w:abstractNum>
  <w:abstractNum w:abstractNumId="7">
    <w:nsid w:val="6C9D0963"/>
    <w:multiLevelType w:val="hybridMultilevel"/>
    <w:tmpl w:val="8B42DC6A"/>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
    <w:nsid w:val="6EB85CCB"/>
    <w:multiLevelType w:val="hybridMultilevel"/>
    <w:tmpl w:val="EA28A930"/>
    <w:lvl w:ilvl="0" w:tplc="2B2490EC">
      <w:start w:val="1"/>
      <w:numFmt w:val="bullet"/>
      <w:lvlText w:val="•"/>
      <w:lvlJc w:val="left"/>
      <w:pPr>
        <w:tabs>
          <w:tab w:val="num" w:pos="360"/>
        </w:tabs>
        <w:ind w:left="360" w:hanging="360"/>
      </w:pPr>
      <w:rPr>
        <w:rFonts w:ascii="Trebuchet MS" w:hAnsi="Trebuchet MS" w:cs="Trebuchet MS" w:hint="default"/>
      </w:rPr>
    </w:lvl>
    <w:lvl w:ilvl="1" w:tplc="2776647C">
      <w:start w:val="1"/>
      <w:numFmt w:val="decimal"/>
      <w:lvlText w:val="%2."/>
      <w:lvlJc w:val="left"/>
      <w:pPr>
        <w:tabs>
          <w:tab w:val="num" w:pos="1440"/>
        </w:tabs>
        <w:ind w:left="1440" w:hanging="360"/>
      </w:pPr>
      <w:rPr>
        <w:rFonts w:hint="default"/>
      </w:rPr>
    </w:lvl>
    <w:lvl w:ilvl="2" w:tplc="517211D0" w:tentative="1">
      <w:start w:val="1"/>
      <w:numFmt w:val="bullet"/>
      <w:lvlText w:val=""/>
      <w:lvlJc w:val="left"/>
      <w:pPr>
        <w:tabs>
          <w:tab w:val="num" w:pos="2160"/>
        </w:tabs>
        <w:ind w:left="2160" w:hanging="360"/>
      </w:pPr>
      <w:rPr>
        <w:rFonts w:ascii="Wingdings" w:hAnsi="Wingdings" w:hint="default"/>
      </w:rPr>
    </w:lvl>
    <w:lvl w:ilvl="3" w:tplc="C9D21F38" w:tentative="1">
      <w:start w:val="1"/>
      <w:numFmt w:val="bullet"/>
      <w:lvlText w:val=""/>
      <w:lvlJc w:val="left"/>
      <w:pPr>
        <w:tabs>
          <w:tab w:val="num" w:pos="2880"/>
        </w:tabs>
        <w:ind w:left="2880" w:hanging="360"/>
      </w:pPr>
      <w:rPr>
        <w:rFonts w:ascii="Symbol" w:hAnsi="Symbol" w:hint="default"/>
      </w:rPr>
    </w:lvl>
    <w:lvl w:ilvl="4" w:tplc="1CC8A786" w:tentative="1">
      <w:start w:val="1"/>
      <w:numFmt w:val="bullet"/>
      <w:lvlText w:val="o"/>
      <w:lvlJc w:val="left"/>
      <w:pPr>
        <w:tabs>
          <w:tab w:val="num" w:pos="3600"/>
        </w:tabs>
        <w:ind w:left="3600" w:hanging="360"/>
      </w:pPr>
      <w:rPr>
        <w:rFonts w:ascii="Courier New" w:hAnsi="Courier New" w:cs="Courier New" w:hint="default"/>
      </w:rPr>
    </w:lvl>
    <w:lvl w:ilvl="5" w:tplc="384AB724" w:tentative="1">
      <w:start w:val="1"/>
      <w:numFmt w:val="bullet"/>
      <w:lvlText w:val=""/>
      <w:lvlJc w:val="left"/>
      <w:pPr>
        <w:tabs>
          <w:tab w:val="num" w:pos="4320"/>
        </w:tabs>
        <w:ind w:left="4320" w:hanging="360"/>
      </w:pPr>
      <w:rPr>
        <w:rFonts w:ascii="Wingdings" w:hAnsi="Wingdings" w:hint="default"/>
      </w:rPr>
    </w:lvl>
    <w:lvl w:ilvl="6" w:tplc="70CCBA46" w:tentative="1">
      <w:start w:val="1"/>
      <w:numFmt w:val="bullet"/>
      <w:lvlText w:val=""/>
      <w:lvlJc w:val="left"/>
      <w:pPr>
        <w:tabs>
          <w:tab w:val="num" w:pos="5040"/>
        </w:tabs>
        <w:ind w:left="5040" w:hanging="360"/>
      </w:pPr>
      <w:rPr>
        <w:rFonts w:ascii="Symbol" w:hAnsi="Symbol" w:hint="default"/>
      </w:rPr>
    </w:lvl>
    <w:lvl w:ilvl="7" w:tplc="B3625634" w:tentative="1">
      <w:start w:val="1"/>
      <w:numFmt w:val="bullet"/>
      <w:lvlText w:val="o"/>
      <w:lvlJc w:val="left"/>
      <w:pPr>
        <w:tabs>
          <w:tab w:val="num" w:pos="5760"/>
        </w:tabs>
        <w:ind w:left="5760" w:hanging="360"/>
      </w:pPr>
      <w:rPr>
        <w:rFonts w:ascii="Courier New" w:hAnsi="Courier New" w:cs="Courier New" w:hint="default"/>
      </w:rPr>
    </w:lvl>
    <w:lvl w:ilvl="8" w:tplc="839A3F4E"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4"/>
  </w:num>
  <w:num w:numId="3">
    <w:abstractNumId w:val="4"/>
  </w:num>
  <w:num w:numId="4">
    <w:abstractNumId w:val="1"/>
  </w:num>
  <w:num w:numId="5">
    <w:abstractNumId w:val="7"/>
  </w:num>
  <w:num w:numId="6">
    <w:abstractNumId w:val="0"/>
  </w:num>
  <w:num w:numId="7">
    <w:abstractNumId w:val="5"/>
  </w:num>
  <w:num w:numId="8">
    <w:abstractNumId w:val="3"/>
  </w:num>
  <w:num w:numId="9">
    <w:abstractNumId w:val="6"/>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5D70"/>
    <w:rsid w:val="0028485E"/>
    <w:rsid w:val="002C0629"/>
    <w:rsid w:val="0036160E"/>
    <w:rsid w:val="003C1276"/>
    <w:rsid w:val="00481793"/>
    <w:rsid w:val="00555D70"/>
    <w:rsid w:val="007164EA"/>
    <w:rsid w:val="00782475"/>
    <w:rsid w:val="008647ED"/>
    <w:rsid w:val="0090226A"/>
    <w:rsid w:val="00C9758A"/>
    <w:rsid w:val="00CD473A"/>
    <w:rsid w:val="00D0095F"/>
    <w:rsid w:val="00D07642"/>
    <w:rsid w:val="00DA67E7"/>
    <w:rsid w:val="00DD3931"/>
    <w:rsid w:val="00F73373"/>
    <w:rsid w:val="00FE7A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55D70"/>
    <w:rPr>
      <w:sz w:val="24"/>
      <w:szCs w:val="24"/>
    </w:rPr>
  </w:style>
  <w:style w:type="character" w:default="1" w:styleId="Policepardfaut">
    <w:name w:val="Default Paragraph Font"/>
    <w:semiHidden/>
  </w:style>
  <w:style w:type="table" w:default="1" w:styleId="TableauNormal">
    <w:name w:val="Normal Table"/>
    <w:semiHidden/>
    <w:tblPr>
      <w:tblInd w:w="0" w:type="dxa"/>
      <w:tblCellMar>
        <w:top w:w="0" w:type="dxa"/>
        <w:left w:w="108" w:type="dxa"/>
        <w:bottom w:w="0" w:type="dxa"/>
        <w:right w:w="108" w:type="dxa"/>
      </w:tblCellMar>
    </w:tblPr>
  </w:style>
  <w:style w:type="numbering" w:default="1" w:styleId="Aucuneliste">
    <w:name w:val="No List"/>
    <w:semiHidden/>
  </w:style>
  <w:style w:type="numbering" w:customStyle="1" w:styleId="Liste-puces">
    <w:name w:val="Liste-puces"/>
    <w:basedOn w:val="Aucuneliste"/>
    <w:rsid w:val="00481793"/>
    <w:pPr>
      <w:numPr>
        <w:numId w:val="1"/>
      </w:numPr>
    </w:pPr>
  </w:style>
  <w:style w:type="numbering" w:customStyle="1" w:styleId="Listeencours2">
    <w:name w:val="Liste en cours2"/>
    <w:rsid w:val="00D0095F"/>
    <w:pPr>
      <w:numPr>
        <w:numId w:val="3"/>
      </w:numPr>
    </w:pPr>
  </w:style>
  <w:style w:type="paragraph" w:customStyle="1" w:styleId="AIAHeader">
    <w:name w:val="AIAHeader"/>
    <w:basedOn w:val="Normal"/>
    <w:rsid w:val="00555D70"/>
    <w:rPr>
      <w:b/>
      <w:bCs/>
      <w:sz w:val="28"/>
      <w:szCs w:val="28"/>
      <w:lang w:val="en-US"/>
    </w:rPr>
  </w:style>
  <w:style w:type="paragraph" w:customStyle="1" w:styleId="Clause">
    <w:name w:val="Clause"/>
    <w:basedOn w:val="Normal"/>
    <w:rsid w:val="00555D70"/>
    <w:pPr>
      <w:keepNext/>
      <w:spacing w:before="240"/>
      <w:ind w:left="357" w:hanging="357"/>
    </w:pPr>
    <w:rPr>
      <w:b/>
      <w:bCs/>
      <w:lang w:val="en-US"/>
    </w:rPr>
  </w:style>
  <w:style w:type="paragraph" w:customStyle="1" w:styleId="Subclause">
    <w:name w:val="Subclause"/>
    <w:basedOn w:val="Normal"/>
    <w:rsid w:val="00555D70"/>
    <w:pPr>
      <w:spacing w:before="120"/>
    </w:pPr>
    <w:rPr>
      <w:bCs/>
      <w:lang w:val="en-US"/>
    </w:rPr>
  </w:style>
  <w:style w:type="paragraph" w:customStyle="1" w:styleId="Bullet">
    <w:name w:val="Bullet"/>
    <w:basedOn w:val="Normal"/>
    <w:rsid w:val="00555D70"/>
    <w:rPr>
      <w:lang w:val="en-US"/>
    </w:rPr>
  </w:style>
  <w:style w:type="character" w:styleId="Lienhypertexte">
    <w:name w:val="Hyperlink"/>
    <w:basedOn w:val="Policepardfaut"/>
    <w:rsid w:val="00555D70"/>
    <w:rPr>
      <w:color w:val="0000FF"/>
      <w:u w:val="single"/>
    </w:rPr>
  </w:style>
  <w:style w:type="paragraph" w:styleId="En-tte">
    <w:name w:val="header"/>
    <w:basedOn w:val="Normal"/>
    <w:rsid w:val="00555D70"/>
    <w:pPr>
      <w:tabs>
        <w:tab w:val="center" w:pos="4320"/>
        <w:tab w:val="right" w:pos="8640"/>
      </w:tabs>
    </w:pPr>
  </w:style>
  <w:style w:type="character" w:styleId="Numrodepage">
    <w:name w:val="page number"/>
    <w:basedOn w:val="Policepardfaut"/>
    <w:rsid w:val="00555D70"/>
  </w:style>
  <w:style w:type="paragraph" w:styleId="Pieddepage">
    <w:name w:val="footer"/>
    <w:basedOn w:val="Normal"/>
    <w:rsid w:val="00555D70"/>
    <w:pPr>
      <w:tabs>
        <w:tab w:val="center" w:pos="4703"/>
        <w:tab w:val="right" w:pos="9406"/>
      </w:tabs>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55D70"/>
    <w:rPr>
      <w:sz w:val="24"/>
      <w:szCs w:val="24"/>
    </w:rPr>
  </w:style>
  <w:style w:type="character" w:default="1" w:styleId="Policepardfaut">
    <w:name w:val="Default Paragraph Font"/>
    <w:semiHidden/>
  </w:style>
  <w:style w:type="table" w:default="1" w:styleId="TableauNormal">
    <w:name w:val="Normal Table"/>
    <w:semiHidden/>
    <w:tblPr>
      <w:tblInd w:w="0" w:type="dxa"/>
      <w:tblCellMar>
        <w:top w:w="0" w:type="dxa"/>
        <w:left w:w="108" w:type="dxa"/>
        <w:bottom w:w="0" w:type="dxa"/>
        <w:right w:w="108" w:type="dxa"/>
      </w:tblCellMar>
    </w:tblPr>
  </w:style>
  <w:style w:type="numbering" w:default="1" w:styleId="Aucuneliste">
    <w:name w:val="No List"/>
    <w:semiHidden/>
  </w:style>
  <w:style w:type="numbering" w:customStyle="1" w:styleId="Liste-puces">
    <w:name w:val="Liste-puces"/>
    <w:basedOn w:val="Aucuneliste"/>
    <w:rsid w:val="00481793"/>
    <w:pPr>
      <w:numPr>
        <w:numId w:val="1"/>
      </w:numPr>
    </w:pPr>
  </w:style>
  <w:style w:type="numbering" w:customStyle="1" w:styleId="Listeencours2">
    <w:name w:val="Liste en cours2"/>
    <w:rsid w:val="00D0095F"/>
    <w:pPr>
      <w:numPr>
        <w:numId w:val="3"/>
      </w:numPr>
    </w:pPr>
  </w:style>
  <w:style w:type="paragraph" w:customStyle="1" w:styleId="AIAHeader">
    <w:name w:val="AIAHeader"/>
    <w:basedOn w:val="Normal"/>
    <w:rsid w:val="00555D70"/>
    <w:rPr>
      <w:b/>
      <w:bCs/>
      <w:sz w:val="28"/>
      <w:szCs w:val="28"/>
      <w:lang w:val="en-US"/>
    </w:rPr>
  </w:style>
  <w:style w:type="paragraph" w:customStyle="1" w:styleId="Clause">
    <w:name w:val="Clause"/>
    <w:basedOn w:val="Normal"/>
    <w:rsid w:val="00555D70"/>
    <w:pPr>
      <w:keepNext/>
      <w:spacing w:before="240"/>
      <w:ind w:left="357" w:hanging="357"/>
    </w:pPr>
    <w:rPr>
      <w:b/>
      <w:bCs/>
      <w:lang w:val="en-US"/>
    </w:rPr>
  </w:style>
  <w:style w:type="paragraph" w:customStyle="1" w:styleId="Subclause">
    <w:name w:val="Subclause"/>
    <w:basedOn w:val="Normal"/>
    <w:rsid w:val="00555D70"/>
    <w:pPr>
      <w:spacing w:before="120"/>
    </w:pPr>
    <w:rPr>
      <w:bCs/>
      <w:lang w:val="en-US"/>
    </w:rPr>
  </w:style>
  <w:style w:type="paragraph" w:customStyle="1" w:styleId="Bullet">
    <w:name w:val="Bullet"/>
    <w:basedOn w:val="Normal"/>
    <w:rsid w:val="00555D70"/>
    <w:rPr>
      <w:lang w:val="en-US"/>
    </w:rPr>
  </w:style>
  <w:style w:type="character" w:styleId="Lienhypertexte">
    <w:name w:val="Hyperlink"/>
    <w:basedOn w:val="Policepardfaut"/>
    <w:rsid w:val="00555D70"/>
    <w:rPr>
      <w:color w:val="0000FF"/>
      <w:u w:val="single"/>
    </w:rPr>
  </w:style>
  <w:style w:type="paragraph" w:styleId="En-tte">
    <w:name w:val="header"/>
    <w:basedOn w:val="Normal"/>
    <w:rsid w:val="00555D70"/>
    <w:pPr>
      <w:tabs>
        <w:tab w:val="center" w:pos="4320"/>
        <w:tab w:val="right" w:pos="8640"/>
      </w:tabs>
    </w:pPr>
  </w:style>
  <w:style w:type="character" w:styleId="Numrodepage">
    <w:name w:val="page number"/>
    <w:basedOn w:val="Policepardfaut"/>
    <w:rsid w:val="00555D70"/>
  </w:style>
  <w:style w:type="paragraph" w:styleId="Pieddepage">
    <w:name w:val="footer"/>
    <w:basedOn w:val="Normal"/>
    <w:rsid w:val="00555D70"/>
    <w:pPr>
      <w:tabs>
        <w:tab w:val="center" w:pos="4703"/>
        <w:tab w:val="right" w:pos="9406"/>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tc184-sc4.org" TargetMode="External"/><Relationship Id="rId13"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ww.plcs-resources.org"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mel.nist.gov/msidlibrary/doc/NISTIR_7339.pdf"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ia-aerospace.org/pdf/aerospace_interoperability_standards_021209.pdf" TargetMode="External"/><Relationship Id="rId4" Type="http://schemas.openxmlformats.org/officeDocument/2006/relationships/settings" Target="settings.xml"/><Relationship Id="rId9" Type="http://schemas.openxmlformats.org/officeDocument/2006/relationships/hyperlink" Target="http://www.oasis-open.org/apps/org/workgroup/plcs/"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933</Words>
  <Characters>5324</Characters>
  <Application>Microsoft Office Word</Application>
  <DocSecurity>0</DocSecurity>
  <Lines>44</Lines>
  <Paragraphs>12</Paragraphs>
  <ScaleCrop>false</ScaleCrop>
  <HeadingPairs>
    <vt:vector size="2" baseType="variant">
      <vt:variant>
        <vt:lpstr>Titre</vt:lpstr>
      </vt:variant>
      <vt:variant>
        <vt:i4>1</vt:i4>
      </vt:variant>
    </vt:vector>
  </HeadingPairs>
  <TitlesOfParts>
    <vt:vector size="1" baseType="lpstr">
      <vt:lpstr/>
    </vt:vector>
  </TitlesOfParts>
  <Company>EADS</Company>
  <LinksUpToDate>false</LinksUpToDate>
  <CharactersWithSpaces>6245</CharactersWithSpaces>
  <SharedDoc>false</SharedDoc>
  <HLinks>
    <vt:vector size="30" baseType="variant">
      <vt:variant>
        <vt:i4>8060963</vt:i4>
      </vt:variant>
      <vt:variant>
        <vt:i4>12</vt:i4>
      </vt:variant>
      <vt:variant>
        <vt:i4>0</vt:i4>
      </vt:variant>
      <vt:variant>
        <vt:i4>5</vt:i4>
      </vt:variant>
      <vt:variant>
        <vt:lpwstr>http://www.plcs-resources.org/</vt:lpwstr>
      </vt:variant>
      <vt:variant>
        <vt:lpwstr/>
      </vt:variant>
      <vt:variant>
        <vt:i4>6881363</vt:i4>
      </vt:variant>
      <vt:variant>
        <vt:i4>9</vt:i4>
      </vt:variant>
      <vt:variant>
        <vt:i4>0</vt:i4>
      </vt:variant>
      <vt:variant>
        <vt:i4>5</vt:i4>
      </vt:variant>
      <vt:variant>
        <vt:lpwstr>http://www.mel.nist.gov/msidlibrary/doc/NISTIR_7339.pdf</vt:lpwstr>
      </vt:variant>
      <vt:variant>
        <vt:lpwstr/>
      </vt:variant>
      <vt:variant>
        <vt:i4>1179750</vt:i4>
      </vt:variant>
      <vt:variant>
        <vt:i4>6</vt:i4>
      </vt:variant>
      <vt:variant>
        <vt:i4>0</vt:i4>
      </vt:variant>
      <vt:variant>
        <vt:i4>5</vt:i4>
      </vt:variant>
      <vt:variant>
        <vt:lpwstr>http://www.aia-aerospace.org/pdf/aerospace_interoperability_standards_021209.pdf</vt:lpwstr>
      </vt:variant>
      <vt:variant>
        <vt:lpwstr/>
      </vt:variant>
      <vt:variant>
        <vt:i4>7798835</vt:i4>
      </vt:variant>
      <vt:variant>
        <vt:i4>3</vt:i4>
      </vt:variant>
      <vt:variant>
        <vt:i4>0</vt:i4>
      </vt:variant>
      <vt:variant>
        <vt:i4>5</vt:i4>
      </vt:variant>
      <vt:variant>
        <vt:lpwstr>http://www.oasis-open.org/apps/org/workgroup/plcs/</vt:lpwstr>
      </vt:variant>
      <vt:variant>
        <vt:lpwstr/>
      </vt:variant>
      <vt:variant>
        <vt:i4>1376281</vt:i4>
      </vt:variant>
      <vt:variant>
        <vt:i4>0</vt:i4>
      </vt:variant>
      <vt:variant>
        <vt:i4>0</vt:i4>
      </vt:variant>
      <vt:variant>
        <vt:i4>5</vt:i4>
      </vt:variant>
      <vt:variant>
        <vt:lpwstr>http://www.tc184-sc4.org/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EADS</dc:creator>
  <cp:lastModifiedBy>Baudier, Yves</cp:lastModifiedBy>
  <cp:revision>1</cp:revision>
  <dcterms:created xsi:type="dcterms:W3CDTF">2016-09-06T14:13:00Z</dcterms:created>
  <dcterms:modified xsi:type="dcterms:W3CDTF">2016-09-06T14:13:00Z</dcterms:modified>
</cp:coreProperties>
</file>